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茶树东路19号（原顺威）合同重要条款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租赁物情况：租赁物位于容桂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海尾居委会茶树东路19号（原顺威）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，用地面积约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6419.45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㎡（以最终测量为准）。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二、用途：租赁物按现状出租，改造需符合停车场功能要求。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三、租赁期及免租期：租赁期为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年，租赁期内前 1 个月为免租期，如遇节假日不顺延。租期开始时间以出租方发出《移交确认书》的有效送达时间起算。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四、竞投底价：拟以¥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25680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.00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元/月为底价公开招租（具体以评估报告的评估价格为准）。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五、租金及递增方式：出租方收取的租金以竞投时的成交价格与实际移交面积计算，租金每三年在前一期的基础上递增 10%。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六、竞投人须按规定缴交竞投保证金，竞得人还需根据租赁合同的约定缴交履约保证金等其他相关款项、费用。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、承租方承担租赁物监管职责，在承租经营期间自主经营、自负盈亏。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、承租方对租赁物土地的改造需符合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停车场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要求。租赁期内，承租方不得扩建硬底化场地，不得新建、加建建筑物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保安室除外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、承租方需自行办理工商、税务、水电、消防验收等申报有关手续，相关费用全部由承租方自行负责。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十、承租方必须按照出租方要求添置防尘等环保设备，定期喷洒防止大气污染。同时按照出租方要求设置现场监控。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十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、租赁期内，租赁物如出现因相关部门要求建筑物被拆除、硬底化场地复绿等情况，承租方需无条件配合，我司不作任何补偿赔偿。如因配合相关部门作业导致租赁物状态发生变更的，经我司及承租方双方协商一致，可按照实际使用情况对租金进行重新中介评定，双方签订《补充协议》。出租方以任何原因提出提前解约的，承租方需无条件接受并在 6 个月内交还租赁物，出租方对承租方不作任何赔偿、补偿。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十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、租赁期满，承租方对租赁物的全部投入无偿移交给出租方（可移动设备设施除外）。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十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承租方在租赁期内需按要求购买商业保险。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十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、根据实际情况，实施土地年审机制，由公有资产管理办公室以及城业公司进行审核，若租户出现违反租赁用途要求按违约处理，若符合租赁用途要求的，则续签合同，续签合同的次数最多不超过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次，每次续签租赁合同的期限均不超过两年，即续签合同的总租赁期限最多不超过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年。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十五、承租方需在签订合同10个工作日内，向出租方提供停车场建设方案，以作备案所用。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395B8E"/>
    <w:multiLevelType w:val="singleLevel"/>
    <w:tmpl w:val="B5395B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D5695"/>
    <w:rsid w:val="08D17737"/>
    <w:rsid w:val="14436956"/>
    <w:rsid w:val="18786EA0"/>
    <w:rsid w:val="217873FF"/>
    <w:rsid w:val="283D328B"/>
    <w:rsid w:val="32480325"/>
    <w:rsid w:val="3F8F3F9D"/>
    <w:rsid w:val="3F9C68CB"/>
    <w:rsid w:val="4ADD418F"/>
    <w:rsid w:val="604E383D"/>
    <w:rsid w:val="7C6C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2019-08-08T01:37:00Z</dcterms:created>
  <dc:creator>CY-300</dc:creator>
  <cp:lastModifiedBy>刀教授</cp:lastModifiedBy>
  <dcterms:modified xsi:type="dcterms:W3CDTF">2019-08-08T09:29:55Z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