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line="360" w:lineRule="auto"/>
        <w:jc w:val="both"/>
        <w:rPr>
          <w:sz w:val="20"/>
        </w:rPr>
      </w:pPr>
    </w:p>
    <w:p>
      <w:pPr>
        <w:pStyle w:val="9"/>
        <w:adjustRightInd w:val="0"/>
        <w:snapToGrid w:val="0"/>
        <w:spacing w:before="9" w:line="360" w:lineRule="auto"/>
        <w:jc w:val="both"/>
        <w:rPr>
          <w:sz w:val="25"/>
        </w:rPr>
      </w:pPr>
    </w:p>
    <w:p>
      <w:pPr>
        <w:adjustRightInd w:val="0"/>
        <w:snapToGrid w:val="0"/>
        <w:spacing w:before="75" w:line="360" w:lineRule="auto"/>
        <w:ind w:left="2815" w:right="2791"/>
        <w:jc w:val="both"/>
        <w:rPr>
          <w:sz w:val="52"/>
        </w:rPr>
      </w:pPr>
      <w:r>
        <w:rPr>
          <w:rFonts w:hint="eastAsia"/>
          <w:sz w:val="52"/>
        </w:rPr>
        <w:t>佛山市顺德区容桂街道</w:t>
      </w:r>
    </w:p>
    <w:p>
      <w:pPr>
        <w:pStyle w:val="9"/>
        <w:adjustRightInd w:val="0"/>
        <w:snapToGrid w:val="0"/>
        <w:spacing w:line="360" w:lineRule="auto"/>
        <w:jc w:val="both"/>
        <w:rPr>
          <w:sz w:val="52"/>
        </w:rPr>
      </w:pPr>
    </w:p>
    <w:p>
      <w:pPr>
        <w:pStyle w:val="9"/>
        <w:adjustRightInd w:val="0"/>
        <w:snapToGrid w:val="0"/>
        <w:spacing w:line="360" w:lineRule="auto"/>
        <w:jc w:val="center"/>
        <w:rPr>
          <w:sz w:val="52"/>
        </w:rPr>
      </w:pPr>
      <w:r>
        <w:rPr>
          <w:rFonts w:hint="eastAsia"/>
          <w:sz w:val="52"/>
        </w:rPr>
        <w:t>公开招租文件</w:t>
      </w:r>
    </w:p>
    <w:p>
      <w:pPr>
        <w:pStyle w:val="9"/>
        <w:adjustRightInd w:val="0"/>
        <w:snapToGrid w:val="0"/>
        <w:spacing w:before="10" w:line="360" w:lineRule="auto"/>
        <w:jc w:val="both"/>
        <w:rPr>
          <w:sz w:val="59"/>
        </w:rPr>
      </w:pPr>
    </w:p>
    <w:p>
      <w:pPr>
        <w:adjustRightInd w:val="0"/>
        <w:snapToGrid w:val="0"/>
        <w:spacing w:line="360" w:lineRule="auto"/>
        <w:ind w:left="2376"/>
        <w:jc w:val="both"/>
        <w:rPr>
          <w:sz w:val="32"/>
        </w:rPr>
      </w:pPr>
      <w:r>
        <w:rPr>
          <w:rFonts w:hint="eastAsia"/>
          <w:sz w:val="32"/>
        </w:rPr>
        <w:t>交易存档号：（容时公【2023】20231107号）</w:t>
      </w:r>
    </w:p>
    <w:p>
      <w:pPr>
        <w:pStyle w:val="9"/>
        <w:adjustRightInd w:val="0"/>
        <w:snapToGrid w:val="0"/>
        <w:spacing w:line="360" w:lineRule="auto"/>
        <w:jc w:val="both"/>
        <w:rPr>
          <w:sz w:val="32"/>
        </w:rPr>
      </w:pPr>
    </w:p>
    <w:p>
      <w:pPr>
        <w:pStyle w:val="9"/>
        <w:adjustRightInd w:val="0"/>
        <w:snapToGrid w:val="0"/>
        <w:spacing w:before="8" w:line="360" w:lineRule="auto"/>
        <w:jc w:val="both"/>
        <w:rPr>
          <w:sz w:val="31"/>
        </w:rPr>
      </w:pPr>
    </w:p>
    <w:p>
      <w:pPr>
        <w:adjustRightInd w:val="0"/>
        <w:snapToGrid w:val="0"/>
        <w:spacing w:line="360" w:lineRule="auto"/>
        <w:ind w:firstLine="2268" w:firstLineChars="706"/>
        <w:jc w:val="both"/>
        <w:rPr>
          <w:b/>
          <w:sz w:val="32"/>
        </w:rPr>
      </w:pPr>
    </w:p>
    <w:p>
      <w:pPr>
        <w:pStyle w:val="9"/>
        <w:adjustRightInd w:val="0"/>
        <w:snapToGrid w:val="0"/>
        <w:spacing w:before="1" w:line="360" w:lineRule="auto"/>
        <w:jc w:val="both"/>
        <w:rPr>
          <w:b/>
          <w:sz w:val="29"/>
        </w:rPr>
      </w:pPr>
    </w:p>
    <w:p>
      <w:pPr>
        <w:adjustRightInd w:val="0"/>
        <w:snapToGrid w:val="0"/>
        <w:spacing w:before="55" w:line="360" w:lineRule="auto"/>
        <w:ind w:left="2299"/>
        <w:jc w:val="both"/>
        <w:rPr>
          <w:b/>
          <w:w w:val="95"/>
          <w:sz w:val="32"/>
          <w:u w:val="single"/>
          <w:lang w:val="en-US"/>
        </w:rPr>
      </w:pPr>
      <w:r>
        <w:rPr>
          <w:rFonts w:hint="eastAsia"/>
          <w:b/>
          <w:sz w:val="32"/>
        </w:rPr>
        <w:t>标的物：</w:t>
      </w:r>
      <w:r>
        <w:rPr>
          <w:rFonts w:hint="eastAsia"/>
          <w:b/>
          <w:sz w:val="32"/>
          <w:u w:val="single"/>
        </w:rPr>
        <w:t>容桂街道小黄圃社区眉蕉河沿岸、科龙职中以南地块一公开招租</w:t>
      </w:r>
    </w:p>
    <w:p>
      <w:pPr>
        <w:adjustRightInd w:val="0"/>
        <w:snapToGrid w:val="0"/>
        <w:spacing w:before="55" w:line="360" w:lineRule="auto"/>
        <w:ind w:left="2299"/>
        <w:jc w:val="both"/>
        <w:rPr>
          <w:b/>
          <w:w w:val="95"/>
          <w:sz w:val="32"/>
          <w:u w:val="single"/>
          <w:lang w:val="en-US"/>
        </w:rPr>
      </w:pPr>
    </w:p>
    <w:p>
      <w:pPr>
        <w:adjustRightInd w:val="0"/>
        <w:snapToGrid w:val="0"/>
        <w:spacing w:before="55" w:line="360" w:lineRule="auto"/>
        <w:ind w:left="2299"/>
        <w:jc w:val="both"/>
        <w:rPr>
          <w:b/>
          <w:w w:val="95"/>
          <w:sz w:val="32"/>
        </w:rPr>
      </w:pPr>
      <w:r>
        <w:rPr>
          <w:rFonts w:hint="eastAsia"/>
          <w:b/>
          <w:w w:val="95"/>
          <w:sz w:val="32"/>
        </w:rPr>
        <w:t>出租人：</w:t>
      </w:r>
      <w:r>
        <w:rPr>
          <w:rFonts w:hint="eastAsia"/>
          <w:b/>
          <w:w w:val="95"/>
          <w:sz w:val="32"/>
          <w:u w:val="single"/>
        </w:rPr>
        <w:t>佛山市顺德区容桂时光文旅产业有限公司</w:t>
      </w:r>
      <w:r>
        <w:rPr>
          <w:rFonts w:hint="eastAsia"/>
          <w:b/>
          <w:w w:val="95"/>
          <w:sz w:val="32"/>
        </w:rPr>
        <w:t xml:space="preserve">（盖章） </w:t>
      </w:r>
    </w:p>
    <w:p>
      <w:pPr>
        <w:adjustRightInd w:val="0"/>
        <w:snapToGrid w:val="0"/>
        <w:spacing w:before="55" w:line="360" w:lineRule="auto"/>
        <w:ind w:left="2299"/>
        <w:jc w:val="both"/>
        <w:rPr>
          <w:b/>
          <w:sz w:val="30"/>
        </w:rPr>
      </w:pPr>
      <w:r>
        <w:rPr>
          <w:rFonts w:hint="eastAsia"/>
          <w:b/>
          <w:sz w:val="32"/>
        </w:rPr>
        <w:t>代理机构：</w:t>
      </w:r>
      <w:r>
        <w:rPr>
          <w:rFonts w:hint="eastAsia"/>
          <w:b/>
          <w:w w:val="95"/>
          <w:sz w:val="32"/>
          <w:u w:val="single"/>
        </w:rPr>
        <w:t>佛山市顺德拍卖行有限公司 （</w:t>
      </w:r>
      <w:r>
        <w:rPr>
          <w:rFonts w:hint="eastAsia"/>
          <w:b/>
          <w:sz w:val="32"/>
        </w:rPr>
        <w:t xml:space="preserve">盖章） </w:t>
      </w:r>
    </w:p>
    <w:p>
      <w:pPr>
        <w:adjustRightInd w:val="0"/>
        <w:snapToGrid w:val="0"/>
        <w:spacing w:before="54" w:line="360" w:lineRule="auto"/>
        <w:ind w:left="2299" w:right="800"/>
        <w:jc w:val="both"/>
        <w:rPr>
          <w:b/>
          <w:sz w:val="30"/>
        </w:rPr>
      </w:pPr>
    </w:p>
    <w:p>
      <w:pPr>
        <w:adjustRightInd w:val="0"/>
        <w:snapToGrid w:val="0"/>
        <w:spacing w:before="54" w:line="360" w:lineRule="auto"/>
        <w:ind w:left="2299" w:right="800"/>
        <w:jc w:val="both"/>
        <w:rPr>
          <w:b/>
          <w:sz w:val="30"/>
          <w:u w:val="single"/>
        </w:rPr>
      </w:pPr>
      <w:r>
        <w:rPr>
          <w:rFonts w:hint="eastAsia"/>
          <w:b/>
          <w:sz w:val="30"/>
        </w:rPr>
        <w:t>编制日期：</w:t>
      </w:r>
      <w:r>
        <w:rPr>
          <w:rFonts w:hint="eastAsia"/>
          <w:b/>
          <w:sz w:val="30"/>
          <w:u w:val="single"/>
        </w:rPr>
        <w:t>二〇</w:t>
      </w:r>
      <w:r>
        <w:rPr>
          <w:rFonts w:hint="eastAsia"/>
          <w:b/>
          <w:sz w:val="30"/>
          <w:u w:val="single"/>
          <w:lang w:val="en-US"/>
        </w:rPr>
        <w:t>二三</w:t>
      </w:r>
      <w:r>
        <w:rPr>
          <w:rFonts w:hint="eastAsia"/>
          <w:b/>
          <w:sz w:val="30"/>
          <w:u w:val="single"/>
        </w:rPr>
        <w:t>年</w:t>
      </w:r>
      <w:r>
        <w:rPr>
          <w:rFonts w:hint="eastAsia"/>
          <w:b/>
          <w:sz w:val="30"/>
          <w:u w:val="single"/>
          <w:lang w:val="en-US"/>
        </w:rPr>
        <w:t>十一月七</w:t>
      </w:r>
      <w:r>
        <w:rPr>
          <w:rFonts w:hint="eastAsia"/>
          <w:b/>
          <w:sz w:val="30"/>
          <w:u w:val="single"/>
        </w:rPr>
        <w:t>日</w:t>
      </w:r>
    </w:p>
    <w:p>
      <w:pPr>
        <w:pStyle w:val="10"/>
        <w:ind w:right="26"/>
        <w:sectPr>
          <w:footerReference r:id="rId3" w:type="default"/>
          <w:pgSz w:w="11910" w:h="16840"/>
          <w:pgMar w:top="1400" w:right="560" w:bottom="1000" w:left="540" w:header="0" w:footer="817" w:gutter="0"/>
          <w:cols w:space="720" w:num="1"/>
        </w:sectPr>
      </w:pPr>
    </w:p>
    <w:p>
      <w:pPr>
        <w:pStyle w:val="44"/>
        <w:adjustRightInd w:val="0"/>
        <w:snapToGrid w:val="0"/>
        <w:spacing w:before="0" w:line="360" w:lineRule="auto"/>
        <w:jc w:val="center"/>
        <w:rPr>
          <w:rFonts w:ascii="宋体" w:hAnsi="宋体" w:cs="宋体"/>
          <w:color w:val="auto"/>
          <w:sz w:val="48"/>
          <w:szCs w:val="48"/>
        </w:rPr>
      </w:pPr>
      <w:bookmarkStart w:id="0" w:name="_Toc1721"/>
      <w:bookmarkStart w:id="1" w:name="_Toc17445"/>
      <w:bookmarkStart w:id="2" w:name="_Toc2297"/>
      <w:bookmarkStart w:id="3" w:name="_Toc7546"/>
      <w:bookmarkStart w:id="4" w:name="_Toc1963"/>
      <w:bookmarkStart w:id="5" w:name="_Toc9478"/>
      <w:bookmarkStart w:id="6" w:name="_Toc10671"/>
      <w:bookmarkStart w:id="7" w:name="_Toc13347"/>
      <w:r>
        <w:rPr>
          <w:rFonts w:hint="eastAsia" w:ascii="宋体" w:hAnsi="宋体" w:cs="宋体"/>
          <w:color w:val="auto"/>
          <w:sz w:val="48"/>
          <w:szCs w:val="48"/>
          <w:lang w:val="zh-CN"/>
        </w:rPr>
        <w:t>目录</w:t>
      </w:r>
      <w:bookmarkEnd w:id="0"/>
      <w:bookmarkEnd w:id="1"/>
      <w:bookmarkEnd w:id="2"/>
      <w:bookmarkEnd w:id="3"/>
      <w:bookmarkEnd w:id="4"/>
      <w:bookmarkEnd w:id="5"/>
    </w:p>
    <w:p>
      <w:pPr>
        <w:pStyle w:val="15"/>
        <w:tabs>
          <w:tab w:val="right" w:leader="dot" w:pos="9756"/>
          <w:tab w:val="clear" w:pos="10800"/>
        </w:tabs>
        <w:spacing w:line="360" w:lineRule="auto"/>
        <w:ind w:left="166" w:leftChars="75"/>
      </w:pPr>
      <w:r>
        <w:rPr>
          <w:rFonts w:hint="eastAsia"/>
        </w:rPr>
        <w:fldChar w:fldCharType="begin"/>
      </w:r>
      <w:r>
        <w:rPr>
          <w:rFonts w:hint="eastAsia"/>
        </w:rPr>
        <w:instrText xml:space="preserve"> TOC \o "1-3" \h \z \u </w:instrText>
      </w:r>
      <w:r>
        <w:rPr>
          <w:rFonts w:hint="eastAsia"/>
        </w:rPr>
        <w:fldChar w:fldCharType="separate"/>
      </w:r>
      <w:bookmarkStart w:id="8" w:name="_Toc9692"/>
      <w:r>
        <w:rPr>
          <w:rFonts w:hint="eastAsia"/>
        </w:rPr>
        <w:fldChar w:fldCharType="begin"/>
      </w:r>
      <w:r>
        <w:rPr>
          <w:rFonts w:hint="eastAsia"/>
        </w:rPr>
        <w:instrText xml:space="preserve"> HYPERLINK \l _Toc1721 </w:instrText>
      </w:r>
      <w:r>
        <w:rPr>
          <w:rFonts w:hint="eastAsia"/>
        </w:rPr>
        <w:fldChar w:fldCharType="separate"/>
      </w:r>
      <w:r>
        <w:rPr>
          <w:rFonts w:hint="eastAsia"/>
          <w:szCs w:val="48"/>
        </w:rPr>
        <w:t>目录</w:t>
      </w:r>
      <w:r>
        <w:rPr>
          <w:rFonts w:hint="eastAsia"/>
        </w:rPr>
        <w:tab/>
      </w:r>
      <w:r>
        <w:rPr>
          <w:rFonts w:hint="eastAsia"/>
        </w:rPr>
        <w:fldChar w:fldCharType="begin"/>
      </w:r>
      <w:r>
        <w:rPr>
          <w:rFonts w:hint="eastAsia"/>
        </w:rPr>
        <w:instrText xml:space="preserve"> PAGEREF _Toc1721 </w:instrText>
      </w:r>
      <w:r>
        <w:rPr>
          <w:rFonts w:hint="eastAsia"/>
        </w:rPr>
        <w:fldChar w:fldCharType="separate"/>
      </w:r>
      <w:r>
        <w:rPr>
          <w:rFonts w:hint="eastAsia"/>
        </w:rPr>
        <w:t>2</w:t>
      </w:r>
      <w:r>
        <w:rPr>
          <w:rFonts w:hint="eastAsia"/>
        </w:rPr>
        <w:fldChar w:fldCharType="end"/>
      </w:r>
      <w:r>
        <w:rPr>
          <w:rFonts w:hint="eastAsia"/>
        </w:rPr>
        <w:fldChar w:fldCharType="end"/>
      </w:r>
    </w:p>
    <w:p>
      <w:pPr>
        <w:pStyle w:val="15"/>
        <w:tabs>
          <w:tab w:val="right" w:leader="dot" w:pos="9756"/>
          <w:tab w:val="clear" w:pos="10800"/>
        </w:tabs>
        <w:spacing w:line="360" w:lineRule="auto"/>
        <w:ind w:left="166" w:leftChars="75"/>
      </w:pPr>
      <w:r>
        <w:fldChar w:fldCharType="begin"/>
      </w:r>
      <w:r>
        <w:instrText xml:space="preserve"> HYPERLINK \l "_Toc25823" </w:instrText>
      </w:r>
      <w:r>
        <w:fldChar w:fldCharType="separate"/>
      </w:r>
      <w:r>
        <w:rPr>
          <w:rFonts w:hint="eastAsia"/>
          <w:b/>
          <w:szCs w:val="32"/>
          <w:lang w:val="en-US"/>
        </w:rPr>
        <w:t>第一部分  竞投公告</w:t>
      </w:r>
      <w:r>
        <w:rPr>
          <w:rFonts w:hint="eastAsia"/>
        </w:rPr>
        <w:tab/>
      </w:r>
      <w:r>
        <w:rPr>
          <w:rFonts w:hint="eastAsia"/>
        </w:rPr>
        <w:fldChar w:fldCharType="begin"/>
      </w:r>
      <w:r>
        <w:rPr>
          <w:rFonts w:hint="eastAsia"/>
        </w:rPr>
        <w:instrText xml:space="preserve"> PAGEREF _Toc25823 </w:instrText>
      </w:r>
      <w:r>
        <w:rPr>
          <w:rFonts w:hint="eastAsia"/>
        </w:rPr>
        <w:fldChar w:fldCharType="separate"/>
      </w:r>
      <w:r>
        <w:rPr>
          <w:rFonts w:hint="eastAsia"/>
        </w:rPr>
        <w:t>3</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"_Toc6826" </w:instrText>
      </w:r>
      <w:r>
        <w:fldChar w:fldCharType="separate"/>
      </w:r>
      <w:r>
        <w:rPr>
          <w:rFonts w:hint="eastAsia"/>
          <w:szCs w:val="24"/>
        </w:rPr>
        <w:t>一、租赁物竞投基本情况</w:t>
      </w:r>
      <w:r>
        <w:rPr>
          <w:rFonts w:hint="eastAsia"/>
        </w:rPr>
        <w:tab/>
      </w:r>
      <w:r>
        <w:rPr>
          <w:rFonts w:hint="eastAsia"/>
        </w:rPr>
        <w:fldChar w:fldCharType="begin"/>
      </w:r>
      <w:r>
        <w:rPr>
          <w:rFonts w:hint="eastAsia"/>
        </w:rPr>
        <w:instrText xml:space="preserve"> PAGEREF _Toc6826 </w:instrText>
      </w:r>
      <w:r>
        <w:rPr>
          <w:rFonts w:hint="eastAsia"/>
        </w:rPr>
        <w:fldChar w:fldCharType="separate"/>
      </w:r>
      <w:r>
        <w:rPr>
          <w:rFonts w:hint="eastAsia"/>
        </w:rPr>
        <w:t>4</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"_Toc7489" </w:instrText>
      </w:r>
      <w:r>
        <w:fldChar w:fldCharType="separate"/>
      </w:r>
      <w:r>
        <w:rPr>
          <w:rFonts w:hint="eastAsia"/>
          <w:bCs/>
          <w:szCs w:val="24"/>
        </w:rPr>
        <w:t>二、竞投人资格及要求</w:t>
      </w:r>
      <w:r>
        <w:rPr>
          <w:rFonts w:hint="eastAsia"/>
        </w:rPr>
        <w:tab/>
      </w:r>
      <w:r>
        <w:rPr>
          <w:rFonts w:hint="eastAsia"/>
        </w:rPr>
        <w:fldChar w:fldCharType="begin"/>
      </w:r>
      <w:r>
        <w:rPr>
          <w:rFonts w:hint="eastAsia"/>
        </w:rPr>
        <w:instrText xml:space="preserve"> PAGEREF _Toc7489 </w:instrText>
      </w:r>
      <w:r>
        <w:rPr>
          <w:rFonts w:hint="eastAsia"/>
        </w:rPr>
        <w:fldChar w:fldCharType="separate"/>
      </w:r>
      <w:r>
        <w:rPr>
          <w:rFonts w:hint="eastAsia"/>
        </w:rPr>
        <w:t>6</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"_Toc11140" </w:instrText>
      </w:r>
      <w:r>
        <w:fldChar w:fldCharType="separate"/>
      </w:r>
      <w:r>
        <w:rPr>
          <w:rFonts w:hint="eastAsia"/>
          <w:bCs/>
          <w:szCs w:val="24"/>
        </w:rPr>
        <w:t>三、竞投方式</w:t>
      </w:r>
      <w:r>
        <w:rPr>
          <w:rFonts w:hint="eastAsia"/>
        </w:rPr>
        <w:tab/>
      </w:r>
      <w:r>
        <w:rPr>
          <w:rFonts w:hint="eastAsia"/>
        </w:rPr>
        <w:fldChar w:fldCharType="begin"/>
      </w:r>
      <w:r>
        <w:rPr>
          <w:rFonts w:hint="eastAsia"/>
        </w:rPr>
        <w:instrText xml:space="preserve"> PAGEREF _Toc11140 </w:instrText>
      </w:r>
      <w:r>
        <w:rPr>
          <w:rFonts w:hint="eastAsia"/>
        </w:rPr>
        <w:fldChar w:fldCharType="separate"/>
      </w:r>
      <w:r>
        <w:rPr>
          <w:rFonts w:hint="eastAsia"/>
        </w:rPr>
        <w:t>7</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"_Toc30930" </w:instrText>
      </w:r>
      <w:r>
        <w:fldChar w:fldCharType="separate"/>
      </w:r>
      <w:r>
        <w:rPr>
          <w:rFonts w:hint="eastAsia"/>
          <w:bCs/>
          <w:szCs w:val="24"/>
        </w:rPr>
        <w:t>四、竞</w:t>
      </w:r>
      <w:r>
        <w:rPr>
          <w:rFonts w:hint="eastAsia"/>
          <w:bCs/>
          <w:szCs w:val="24"/>
          <w:lang w:val="en-US"/>
        </w:rPr>
        <w:t>价</w:t>
      </w:r>
      <w:r>
        <w:rPr>
          <w:rFonts w:hint="eastAsia"/>
          <w:bCs/>
          <w:szCs w:val="24"/>
        </w:rPr>
        <w:t>公告发布媒体</w:t>
      </w:r>
      <w:r>
        <w:rPr>
          <w:rFonts w:hint="eastAsia"/>
        </w:rPr>
        <w:tab/>
      </w:r>
      <w:r>
        <w:rPr>
          <w:rFonts w:hint="eastAsia"/>
        </w:rPr>
        <w:fldChar w:fldCharType="begin"/>
      </w:r>
      <w:r>
        <w:rPr>
          <w:rFonts w:hint="eastAsia"/>
        </w:rPr>
        <w:instrText xml:space="preserve"> PAGEREF _Toc30930 </w:instrText>
      </w:r>
      <w:r>
        <w:rPr>
          <w:rFonts w:hint="eastAsia"/>
        </w:rPr>
        <w:fldChar w:fldCharType="separate"/>
      </w:r>
      <w:r>
        <w:rPr>
          <w:rFonts w:hint="eastAsia"/>
        </w:rPr>
        <w:t>7</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"_Toc14871" </w:instrText>
      </w:r>
      <w:r>
        <w:fldChar w:fldCharType="separate"/>
      </w:r>
      <w:r>
        <w:rPr>
          <w:rFonts w:hint="eastAsia"/>
          <w:bCs/>
          <w:szCs w:val="24"/>
        </w:rPr>
        <w:t>五、文件获取方式</w:t>
      </w:r>
      <w:r>
        <w:rPr>
          <w:rFonts w:hint="eastAsia"/>
        </w:rPr>
        <w:tab/>
      </w:r>
      <w:r>
        <w:rPr>
          <w:rFonts w:hint="eastAsia"/>
        </w:rPr>
        <w:fldChar w:fldCharType="begin"/>
      </w:r>
      <w:r>
        <w:rPr>
          <w:rFonts w:hint="eastAsia"/>
        </w:rPr>
        <w:instrText xml:space="preserve"> PAGEREF _Toc14871 </w:instrText>
      </w:r>
      <w:r>
        <w:rPr>
          <w:rFonts w:hint="eastAsia"/>
        </w:rPr>
        <w:fldChar w:fldCharType="separate"/>
      </w:r>
      <w:r>
        <w:rPr>
          <w:rFonts w:hint="eastAsia"/>
        </w:rPr>
        <w:t>7</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"_Toc1644" </w:instrText>
      </w:r>
      <w:r>
        <w:fldChar w:fldCharType="separate"/>
      </w:r>
      <w:r>
        <w:rPr>
          <w:rFonts w:hint="eastAsia"/>
          <w:bCs/>
          <w:szCs w:val="24"/>
        </w:rPr>
        <w:t>六、竞投保证金的缴交和退回</w:t>
      </w:r>
      <w:r>
        <w:rPr>
          <w:rFonts w:hint="eastAsia"/>
        </w:rPr>
        <w:tab/>
      </w:r>
      <w:r>
        <w:rPr>
          <w:rFonts w:hint="eastAsia"/>
        </w:rPr>
        <w:fldChar w:fldCharType="begin"/>
      </w:r>
      <w:r>
        <w:rPr>
          <w:rFonts w:hint="eastAsia"/>
        </w:rPr>
        <w:instrText xml:space="preserve"> PAGEREF _Toc1644 </w:instrText>
      </w:r>
      <w:r>
        <w:rPr>
          <w:rFonts w:hint="eastAsia"/>
        </w:rPr>
        <w:fldChar w:fldCharType="separate"/>
      </w:r>
      <w:r>
        <w:rPr>
          <w:rFonts w:hint="eastAsia"/>
        </w:rPr>
        <w:t>7</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"_Toc3572" </w:instrText>
      </w:r>
      <w:r>
        <w:fldChar w:fldCharType="separate"/>
      </w:r>
      <w:r>
        <w:rPr>
          <w:rFonts w:hint="eastAsia"/>
          <w:szCs w:val="24"/>
        </w:rPr>
        <w:t>七、其它事项</w:t>
      </w:r>
      <w:r>
        <w:rPr>
          <w:rFonts w:hint="eastAsia"/>
        </w:rPr>
        <w:tab/>
      </w:r>
      <w:r>
        <w:rPr>
          <w:rFonts w:hint="eastAsia"/>
        </w:rPr>
        <w:fldChar w:fldCharType="begin"/>
      </w:r>
      <w:r>
        <w:rPr>
          <w:rFonts w:hint="eastAsia"/>
        </w:rPr>
        <w:instrText xml:space="preserve"> PAGEREF _Toc3572 </w:instrText>
      </w:r>
      <w:r>
        <w:rPr>
          <w:rFonts w:hint="eastAsia"/>
        </w:rPr>
        <w:fldChar w:fldCharType="separate"/>
      </w:r>
      <w:r>
        <w:rPr>
          <w:rFonts w:hint="eastAsia"/>
        </w:rPr>
        <w:t>8</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"_Toc6899" </w:instrText>
      </w:r>
      <w:r>
        <w:fldChar w:fldCharType="separate"/>
      </w:r>
      <w:r>
        <w:rPr>
          <w:rFonts w:hint="eastAsia"/>
          <w:szCs w:val="24"/>
        </w:rPr>
        <w:t>八、联系方式</w:t>
      </w:r>
      <w:r>
        <w:rPr>
          <w:rFonts w:hint="eastAsia"/>
        </w:rPr>
        <w:tab/>
      </w:r>
      <w:r>
        <w:rPr>
          <w:rFonts w:hint="eastAsia"/>
        </w:rPr>
        <w:fldChar w:fldCharType="begin"/>
      </w:r>
      <w:r>
        <w:rPr>
          <w:rFonts w:hint="eastAsia"/>
        </w:rPr>
        <w:instrText xml:space="preserve"> PAGEREF _Toc6899 </w:instrText>
      </w:r>
      <w:r>
        <w:rPr>
          <w:rFonts w:hint="eastAsia"/>
        </w:rPr>
        <w:fldChar w:fldCharType="separate"/>
      </w:r>
      <w:r>
        <w:rPr>
          <w:rFonts w:hint="eastAsia"/>
        </w:rPr>
        <w:t>9</w:t>
      </w:r>
      <w:r>
        <w:rPr>
          <w:rFonts w:hint="eastAsia"/>
        </w:rPr>
        <w:fldChar w:fldCharType="end"/>
      </w:r>
      <w:r>
        <w:rPr>
          <w:rFonts w:hint="eastAsia"/>
        </w:rPr>
        <w:fldChar w:fldCharType="end"/>
      </w:r>
    </w:p>
    <w:p>
      <w:pPr>
        <w:pStyle w:val="15"/>
        <w:tabs>
          <w:tab w:val="right" w:leader="dot" w:pos="9756"/>
          <w:tab w:val="clear" w:pos="10800"/>
        </w:tabs>
        <w:spacing w:line="360" w:lineRule="auto"/>
        <w:ind w:left="166" w:leftChars="75"/>
      </w:pPr>
      <w:r>
        <w:fldChar w:fldCharType="begin"/>
      </w:r>
      <w:r>
        <w:instrText xml:space="preserve"> HYPERLINK \l "_Toc3491" </w:instrText>
      </w:r>
      <w:r>
        <w:fldChar w:fldCharType="separate"/>
      </w:r>
      <w:r>
        <w:rPr>
          <w:rFonts w:hint="eastAsia"/>
          <w:lang w:val="en-US"/>
        </w:rPr>
        <w:t>附 表 1</w:t>
      </w:r>
      <w:r>
        <w:rPr>
          <w:rFonts w:hint="eastAsia"/>
        </w:rPr>
        <w:tab/>
      </w:r>
      <w:r>
        <w:rPr>
          <w:rFonts w:hint="eastAsia"/>
        </w:rPr>
        <w:fldChar w:fldCharType="begin"/>
      </w:r>
      <w:r>
        <w:rPr>
          <w:rFonts w:hint="eastAsia"/>
        </w:rPr>
        <w:instrText xml:space="preserve"> PAGEREF _Toc3491 </w:instrText>
      </w:r>
      <w:r>
        <w:rPr>
          <w:rFonts w:hint="eastAsia"/>
        </w:rPr>
        <w:fldChar w:fldCharType="separate"/>
      </w:r>
      <w:r>
        <w:rPr>
          <w:rFonts w:hint="eastAsia"/>
        </w:rPr>
        <w:t>9</w:t>
      </w:r>
      <w:r>
        <w:rPr>
          <w:rFonts w:hint="eastAsia"/>
        </w:rPr>
        <w:fldChar w:fldCharType="end"/>
      </w:r>
      <w:r>
        <w:rPr>
          <w:rFonts w:hint="eastAsia"/>
        </w:rPr>
        <w:fldChar w:fldCharType="end"/>
      </w:r>
    </w:p>
    <w:p>
      <w:pPr>
        <w:pStyle w:val="15"/>
        <w:tabs>
          <w:tab w:val="right" w:leader="dot" w:pos="9756"/>
          <w:tab w:val="clear" w:pos="10800"/>
        </w:tabs>
        <w:spacing w:line="360" w:lineRule="auto"/>
        <w:ind w:left="166" w:leftChars="75"/>
      </w:pPr>
      <w:r>
        <w:fldChar w:fldCharType="begin"/>
      </w:r>
      <w:r>
        <w:instrText xml:space="preserve"> HYPERLINK \l "_Toc6971" </w:instrText>
      </w:r>
      <w:r>
        <w:fldChar w:fldCharType="separate"/>
      </w:r>
      <w:r>
        <w:rPr>
          <w:rFonts w:hint="eastAsia"/>
          <w:b/>
          <w:szCs w:val="32"/>
          <w:lang w:val="en-US"/>
        </w:rPr>
        <w:t>第二部分 标的物宗地平面图</w:t>
      </w:r>
      <w:r>
        <w:rPr>
          <w:rFonts w:hint="eastAsia"/>
        </w:rPr>
        <w:tab/>
      </w:r>
      <w:r>
        <w:rPr>
          <w:rFonts w:hint="eastAsia"/>
        </w:rPr>
        <w:fldChar w:fldCharType="begin"/>
      </w:r>
      <w:r>
        <w:rPr>
          <w:rFonts w:hint="eastAsia"/>
        </w:rPr>
        <w:instrText xml:space="preserve"> PAGEREF _Toc6971 </w:instrText>
      </w:r>
      <w:r>
        <w:rPr>
          <w:rFonts w:hint="eastAsia"/>
        </w:rPr>
        <w:fldChar w:fldCharType="separate"/>
      </w:r>
      <w:r>
        <w:rPr>
          <w:rFonts w:hint="eastAsia"/>
        </w:rPr>
        <w:t>11</w:t>
      </w:r>
      <w:r>
        <w:rPr>
          <w:rFonts w:hint="eastAsia"/>
        </w:rPr>
        <w:fldChar w:fldCharType="end"/>
      </w:r>
      <w:r>
        <w:rPr>
          <w:rFonts w:hint="eastAsia"/>
        </w:rPr>
        <w:fldChar w:fldCharType="end"/>
      </w:r>
    </w:p>
    <w:p>
      <w:pPr>
        <w:pStyle w:val="15"/>
        <w:tabs>
          <w:tab w:val="right" w:leader="dot" w:pos="9756"/>
          <w:tab w:val="clear" w:pos="10800"/>
        </w:tabs>
        <w:spacing w:line="360" w:lineRule="auto"/>
        <w:ind w:left="166" w:leftChars="75"/>
      </w:pPr>
      <w:r>
        <w:fldChar w:fldCharType="begin"/>
      </w:r>
      <w:r>
        <w:instrText xml:space="preserve"> HYPERLINK \l "_Toc26984" </w:instrText>
      </w:r>
      <w:r>
        <w:fldChar w:fldCharType="separate"/>
      </w:r>
      <w:r>
        <w:rPr>
          <w:rFonts w:hint="eastAsia"/>
          <w:b/>
          <w:szCs w:val="32"/>
          <w:lang w:val="en-US"/>
        </w:rPr>
        <w:t xml:space="preserve">第三部分 </w:t>
      </w:r>
      <w:r>
        <w:rPr>
          <w:rFonts w:hint="eastAsia"/>
          <w:b/>
          <w:szCs w:val="32"/>
        </w:rPr>
        <w:t>竞投须知</w:t>
      </w:r>
      <w:r>
        <w:rPr>
          <w:rFonts w:hint="eastAsia"/>
        </w:rPr>
        <w:tab/>
      </w:r>
      <w:r>
        <w:rPr>
          <w:rFonts w:hint="eastAsia"/>
        </w:rPr>
        <w:fldChar w:fldCharType="begin"/>
      </w:r>
      <w:r>
        <w:rPr>
          <w:rFonts w:hint="eastAsia"/>
        </w:rPr>
        <w:instrText xml:space="preserve"> PAGEREF _Toc26984 </w:instrText>
      </w:r>
      <w:r>
        <w:rPr>
          <w:rFonts w:hint="eastAsia"/>
        </w:rPr>
        <w:fldChar w:fldCharType="separate"/>
      </w:r>
      <w:r>
        <w:rPr>
          <w:rFonts w:hint="eastAsia"/>
        </w:rPr>
        <w:t>12</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"_Toc25140" </w:instrText>
      </w:r>
      <w:r>
        <w:fldChar w:fldCharType="separate"/>
      </w:r>
      <w:r>
        <w:rPr>
          <w:rFonts w:hint="eastAsia"/>
          <w:bCs/>
          <w:lang w:val="en-US"/>
        </w:rPr>
        <w:t>一、竞投人资格</w:t>
      </w:r>
      <w:r>
        <w:rPr>
          <w:rFonts w:hint="eastAsia"/>
        </w:rPr>
        <w:tab/>
      </w:r>
      <w:r>
        <w:rPr>
          <w:rFonts w:hint="eastAsia"/>
        </w:rPr>
        <w:fldChar w:fldCharType="begin"/>
      </w:r>
      <w:r>
        <w:rPr>
          <w:rFonts w:hint="eastAsia"/>
        </w:rPr>
        <w:instrText xml:space="preserve"> PAGEREF _Toc25140 </w:instrText>
      </w:r>
      <w:r>
        <w:rPr>
          <w:rFonts w:hint="eastAsia"/>
        </w:rPr>
        <w:fldChar w:fldCharType="separate"/>
      </w:r>
      <w:r>
        <w:rPr>
          <w:rFonts w:hint="eastAsia"/>
        </w:rPr>
        <w:t>12</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"_Toc13639" </w:instrText>
      </w:r>
      <w:r>
        <w:fldChar w:fldCharType="separate"/>
      </w:r>
      <w:r>
        <w:rPr>
          <w:rFonts w:hint="eastAsia"/>
          <w:bCs/>
          <w:lang w:val="en-US"/>
        </w:rPr>
        <w:t>二、竞投登记手续</w:t>
      </w:r>
      <w:r>
        <w:rPr>
          <w:rFonts w:hint="eastAsia"/>
        </w:rPr>
        <w:tab/>
      </w:r>
      <w:r>
        <w:rPr>
          <w:rFonts w:hint="eastAsia"/>
        </w:rPr>
        <w:fldChar w:fldCharType="begin"/>
      </w:r>
      <w:r>
        <w:rPr>
          <w:rFonts w:hint="eastAsia"/>
        </w:rPr>
        <w:instrText xml:space="preserve"> PAGEREF _Toc13639 </w:instrText>
      </w:r>
      <w:r>
        <w:rPr>
          <w:rFonts w:hint="eastAsia"/>
        </w:rPr>
        <w:fldChar w:fldCharType="separate"/>
      </w:r>
      <w:r>
        <w:rPr>
          <w:rFonts w:hint="eastAsia"/>
        </w:rPr>
        <w:t>12</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"_Toc3417" </w:instrText>
      </w:r>
      <w:r>
        <w:fldChar w:fldCharType="separate"/>
      </w:r>
      <w:r>
        <w:rPr>
          <w:rFonts w:hint="eastAsia"/>
          <w:bCs/>
          <w:szCs w:val="32"/>
          <w:lang w:val="en-US"/>
        </w:rPr>
        <w:t>三、</w:t>
      </w:r>
      <w:r>
        <w:rPr>
          <w:rFonts w:hint="eastAsia"/>
          <w:bCs/>
          <w:szCs w:val="32"/>
        </w:rPr>
        <w:t>竞投程序及规则</w:t>
      </w:r>
      <w:r>
        <w:rPr>
          <w:rFonts w:hint="eastAsia"/>
        </w:rPr>
        <w:tab/>
      </w:r>
      <w:r>
        <w:rPr>
          <w:rFonts w:hint="eastAsia"/>
        </w:rPr>
        <w:fldChar w:fldCharType="begin"/>
      </w:r>
      <w:r>
        <w:rPr>
          <w:rFonts w:hint="eastAsia"/>
        </w:rPr>
        <w:instrText xml:space="preserve"> PAGEREF _Toc3417 </w:instrText>
      </w:r>
      <w:r>
        <w:rPr>
          <w:rFonts w:hint="eastAsia"/>
        </w:rPr>
        <w:fldChar w:fldCharType="separate"/>
      </w:r>
      <w:r>
        <w:rPr>
          <w:rFonts w:hint="eastAsia"/>
        </w:rPr>
        <w:t>14</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"_Toc13361" </w:instrText>
      </w:r>
      <w:r>
        <w:fldChar w:fldCharType="separate"/>
      </w:r>
      <w:r>
        <w:rPr>
          <w:rFonts w:hint="eastAsia"/>
          <w:bCs/>
        </w:rPr>
        <w:t>四、竞投会场须知</w:t>
      </w:r>
      <w:r>
        <w:rPr>
          <w:rFonts w:hint="eastAsia"/>
        </w:rPr>
        <w:tab/>
      </w:r>
      <w:r>
        <w:rPr>
          <w:rFonts w:hint="eastAsia"/>
        </w:rPr>
        <w:fldChar w:fldCharType="begin"/>
      </w:r>
      <w:r>
        <w:rPr>
          <w:rFonts w:hint="eastAsia"/>
        </w:rPr>
        <w:instrText xml:space="preserve"> PAGEREF _Toc13361 </w:instrText>
      </w:r>
      <w:r>
        <w:rPr>
          <w:rFonts w:hint="eastAsia"/>
        </w:rPr>
        <w:fldChar w:fldCharType="separate"/>
      </w:r>
      <w:r>
        <w:rPr>
          <w:rFonts w:hint="eastAsia"/>
        </w:rPr>
        <w:t>16</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"_Toc2485" </w:instrText>
      </w:r>
      <w:r>
        <w:fldChar w:fldCharType="separate"/>
      </w:r>
      <w:r>
        <w:rPr>
          <w:rFonts w:hint="eastAsia"/>
        </w:rPr>
        <w:t>五、附件资格文件格式</w:t>
      </w:r>
      <w:r>
        <w:rPr>
          <w:rFonts w:hint="eastAsia"/>
        </w:rPr>
        <w:tab/>
      </w:r>
      <w:r>
        <w:rPr>
          <w:rFonts w:hint="eastAsia"/>
        </w:rPr>
        <w:fldChar w:fldCharType="begin"/>
      </w:r>
      <w:r>
        <w:rPr>
          <w:rFonts w:hint="eastAsia"/>
        </w:rPr>
        <w:instrText xml:space="preserve"> PAGEREF _Toc2485 </w:instrText>
      </w:r>
      <w:r>
        <w:rPr>
          <w:rFonts w:hint="eastAsia"/>
        </w:rPr>
        <w:fldChar w:fldCharType="separate"/>
      </w:r>
      <w:r>
        <w:rPr>
          <w:rFonts w:hint="eastAsia"/>
        </w:rPr>
        <w:t>18</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"_Toc19966" </w:instrText>
      </w:r>
      <w:r>
        <w:fldChar w:fldCharType="separate"/>
      </w:r>
      <w:r>
        <w:rPr>
          <w:rFonts w:hint="eastAsia"/>
          <w:lang w:val="en-US"/>
        </w:rPr>
        <w:t>六、号牌领取凭据</w:t>
      </w:r>
      <w:r>
        <w:rPr>
          <w:rFonts w:hint="eastAsia"/>
        </w:rPr>
        <w:tab/>
      </w:r>
      <w:r>
        <w:rPr>
          <w:rFonts w:hint="eastAsia"/>
        </w:rPr>
        <w:fldChar w:fldCharType="begin"/>
      </w:r>
      <w:r>
        <w:rPr>
          <w:rFonts w:hint="eastAsia"/>
        </w:rPr>
        <w:instrText xml:space="preserve"> PAGEREF _Toc19966 </w:instrText>
      </w:r>
      <w:r>
        <w:rPr>
          <w:rFonts w:hint="eastAsia"/>
        </w:rPr>
        <w:fldChar w:fldCharType="separate"/>
      </w:r>
      <w:r>
        <w:rPr>
          <w:rFonts w:hint="eastAsia"/>
        </w:rPr>
        <w:t>24</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"_Toc12019" </w:instrText>
      </w:r>
      <w:r>
        <w:fldChar w:fldCharType="separate"/>
      </w:r>
      <w:r>
        <w:rPr>
          <w:rFonts w:hint="eastAsia"/>
        </w:rPr>
        <w:t>七、竞投资格审核书</w:t>
      </w:r>
      <w:r>
        <w:rPr>
          <w:rFonts w:hint="eastAsia"/>
        </w:rPr>
        <w:tab/>
      </w:r>
      <w:r>
        <w:rPr>
          <w:rFonts w:hint="eastAsia"/>
        </w:rPr>
        <w:fldChar w:fldCharType="begin"/>
      </w:r>
      <w:r>
        <w:rPr>
          <w:rFonts w:hint="eastAsia"/>
        </w:rPr>
        <w:instrText xml:space="preserve"> PAGEREF _Toc12019 </w:instrText>
      </w:r>
      <w:r>
        <w:rPr>
          <w:rFonts w:hint="eastAsia"/>
        </w:rPr>
        <w:fldChar w:fldCharType="separate"/>
      </w:r>
      <w:r>
        <w:rPr>
          <w:rFonts w:hint="eastAsia"/>
        </w:rPr>
        <w:t>25</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"_Toc4511" </w:instrText>
      </w:r>
      <w:r>
        <w:fldChar w:fldCharType="separate"/>
      </w:r>
      <w:r>
        <w:rPr>
          <w:rFonts w:hint="eastAsia"/>
        </w:rPr>
        <w:t>八、缴交保证金声明(样本)</w:t>
      </w:r>
      <w:r>
        <w:rPr>
          <w:rFonts w:hint="eastAsia"/>
        </w:rPr>
        <w:tab/>
      </w:r>
      <w:r>
        <w:rPr>
          <w:rFonts w:hint="eastAsia"/>
        </w:rPr>
        <w:fldChar w:fldCharType="begin"/>
      </w:r>
      <w:r>
        <w:rPr>
          <w:rFonts w:hint="eastAsia"/>
        </w:rPr>
        <w:instrText xml:space="preserve"> PAGEREF _Toc4511 </w:instrText>
      </w:r>
      <w:r>
        <w:rPr>
          <w:rFonts w:hint="eastAsia"/>
        </w:rPr>
        <w:fldChar w:fldCharType="separate"/>
      </w:r>
      <w:r>
        <w:rPr>
          <w:rFonts w:hint="eastAsia"/>
        </w:rPr>
        <w:t>26</w:t>
      </w:r>
      <w:r>
        <w:rPr>
          <w:rFonts w:hint="eastAsia"/>
        </w:rPr>
        <w:fldChar w:fldCharType="end"/>
      </w:r>
      <w:r>
        <w:rPr>
          <w:rFonts w:hint="eastAsia"/>
        </w:rPr>
        <w:fldChar w:fldCharType="end"/>
      </w:r>
    </w:p>
    <w:p>
      <w:pPr>
        <w:pStyle w:val="15"/>
        <w:tabs>
          <w:tab w:val="right" w:leader="dot" w:pos="9756"/>
          <w:tab w:val="clear" w:pos="10800"/>
        </w:tabs>
        <w:spacing w:line="360" w:lineRule="auto"/>
        <w:ind w:left="166" w:leftChars="75"/>
      </w:pPr>
      <w:r>
        <w:fldChar w:fldCharType="begin"/>
      </w:r>
      <w:r>
        <w:instrText xml:space="preserve"> HYPERLINK \l "_Toc7782" </w:instrText>
      </w:r>
      <w:r>
        <w:fldChar w:fldCharType="separate"/>
      </w:r>
      <w:r>
        <w:rPr>
          <w:rFonts w:hint="eastAsia"/>
        </w:rPr>
        <w:t>九、招租中标成交凭证（拍后签订）</w:t>
      </w:r>
      <w:r>
        <w:rPr>
          <w:rFonts w:hint="eastAsia"/>
        </w:rPr>
        <w:tab/>
      </w:r>
      <w:r>
        <w:rPr>
          <w:rFonts w:hint="eastAsia"/>
        </w:rPr>
        <w:fldChar w:fldCharType="begin"/>
      </w:r>
      <w:r>
        <w:rPr>
          <w:rFonts w:hint="eastAsia"/>
        </w:rPr>
        <w:instrText xml:space="preserve"> PAGEREF _Toc7782 </w:instrText>
      </w:r>
      <w:r>
        <w:rPr>
          <w:rFonts w:hint="eastAsia"/>
        </w:rPr>
        <w:fldChar w:fldCharType="separate"/>
      </w:r>
      <w:r>
        <w:rPr>
          <w:rFonts w:hint="eastAsia"/>
        </w:rPr>
        <w:t>27</w:t>
      </w:r>
      <w:r>
        <w:rPr>
          <w:rFonts w:hint="eastAsia"/>
        </w:rPr>
        <w:fldChar w:fldCharType="end"/>
      </w:r>
      <w:r>
        <w:rPr>
          <w:rFonts w:hint="eastAsia"/>
        </w:rPr>
        <w:fldChar w:fldCharType="end"/>
      </w:r>
    </w:p>
    <w:p>
      <w:pPr>
        <w:pStyle w:val="15"/>
        <w:tabs>
          <w:tab w:val="right" w:leader="dot" w:pos="9756"/>
          <w:tab w:val="clear" w:pos="10800"/>
        </w:tabs>
        <w:spacing w:line="360" w:lineRule="auto"/>
        <w:ind w:left="166" w:leftChars="75"/>
      </w:pPr>
      <w:r>
        <w:fldChar w:fldCharType="begin"/>
      </w:r>
      <w:r>
        <w:instrText xml:space="preserve"> HYPERLINK \l "_Toc846" </w:instrText>
      </w:r>
      <w:r>
        <w:fldChar w:fldCharType="separate"/>
      </w:r>
      <w:r>
        <w:rPr>
          <w:rFonts w:hint="eastAsia"/>
          <w:lang w:val="en-US"/>
        </w:rPr>
        <w:t>十、</w:t>
      </w:r>
      <w:r>
        <w:rPr>
          <w:rFonts w:hint="eastAsia"/>
        </w:rPr>
        <w:t>起投价确认表</w:t>
      </w:r>
      <w:r>
        <w:rPr>
          <w:rFonts w:hint="eastAsia"/>
        </w:rPr>
        <w:tab/>
      </w:r>
      <w:r>
        <w:rPr>
          <w:rFonts w:hint="eastAsia"/>
        </w:rPr>
        <w:fldChar w:fldCharType="begin"/>
      </w:r>
      <w:r>
        <w:rPr>
          <w:rFonts w:hint="eastAsia"/>
        </w:rPr>
        <w:instrText xml:space="preserve"> PAGEREF _Toc846 </w:instrText>
      </w:r>
      <w:r>
        <w:rPr>
          <w:rFonts w:hint="eastAsia"/>
        </w:rPr>
        <w:fldChar w:fldCharType="separate"/>
      </w:r>
      <w:r>
        <w:rPr>
          <w:rFonts w:hint="eastAsia"/>
        </w:rPr>
        <w:t>28</w:t>
      </w:r>
      <w:r>
        <w:rPr>
          <w:rFonts w:hint="eastAsia"/>
        </w:rPr>
        <w:fldChar w:fldCharType="end"/>
      </w:r>
      <w:r>
        <w:rPr>
          <w:rFonts w:hint="eastAsia"/>
        </w:rPr>
        <w:fldChar w:fldCharType="end"/>
      </w:r>
    </w:p>
    <w:p>
      <w:pPr>
        <w:pStyle w:val="15"/>
        <w:tabs>
          <w:tab w:val="right" w:leader="dot" w:pos="9756"/>
          <w:tab w:val="clear" w:pos="10800"/>
        </w:tabs>
        <w:spacing w:line="360" w:lineRule="auto"/>
        <w:ind w:left="166" w:leftChars="75"/>
      </w:pPr>
      <w:r>
        <w:fldChar w:fldCharType="begin"/>
      </w:r>
      <w:r>
        <w:instrText xml:space="preserve"> HYPERLINK \l "_Toc8184" </w:instrText>
      </w:r>
      <w:r>
        <w:fldChar w:fldCharType="separate"/>
      </w:r>
      <w:r>
        <w:rPr>
          <w:rFonts w:hint="eastAsia"/>
          <w:b/>
          <w:bCs/>
          <w:lang w:val="en-US"/>
        </w:rPr>
        <w:t>第四部分</w:t>
      </w:r>
      <w:r>
        <w:rPr>
          <w:rFonts w:hint="eastAsia"/>
          <w:b/>
          <w:bCs/>
          <w:lang w:val="en-US"/>
        </w:rPr>
        <w:fldChar w:fldCharType="end"/>
      </w:r>
      <w:r>
        <w:fldChar w:fldCharType="begin"/>
      </w:r>
      <w:r>
        <w:instrText xml:space="preserve"> HYPERLINK \l "_Toc1155" </w:instrText>
      </w:r>
      <w:r>
        <w:fldChar w:fldCharType="separate"/>
      </w:r>
      <w:r>
        <w:rPr>
          <w:rFonts w:hint="eastAsia"/>
          <w:b/>
          <w:bCs/>
          <w:lang w:val="en-US"/>
        </w:rPr>
        <w:t>租赁合同模板</w:t>
      </w:r>
      <w:r>
        <w:rPr>
          <w:rFonts w:hint="eastAsia"/>
        </w:rPr>
        <w:tab/>
      </w:r>
      <w:r>
        <w:rPr>
          <w:rFonts w:hint="eastAsia"/>
          <w:lang w:val="en-US"/>
        </w:rPr>
        <w:t>29</w:t>
      </w:r>
      <w:r>
        <w:rPr>
          <w:rFonts w:hint="eastAsia"/>
          <w:lang w:val="en-US"/>
        </w:rPr>
        <w:fldChar w:fldCharType="end"/>
      </w:r>
    </w:p>
    <w:p>
      <w:pPr>
        <w:pStyle w:val="17"/>
        <w:tabs>
          <w:tab w:val="right" w:leader="dot" w:pos="10810"/>
        </w:tabs>
        <w:spacing w:line="360" w:lineRule="auto"/>
        <w:ind w:left="440"/>
        <w:rPr>
          <w:lang w:val="en-US"/>
        </w:rPr>
      </w:pPr>
      <w:r>
        <w:rPr>
          <w:rFonts w:hint="eastAsia"/>
        </w:rPr>
        <w:fldChar w:fldCharType="end"/>
      </w:r>
      <w:bookmarkStart w:id="9" w:name="_Toc3918"/>
    </w:p>
    <w:bookmarkEnd w:id="6"/>
    <w:bookmarkEnd w:id="7"/>
    <w:bookmarkEnd w:id="8"/>
    <w:bookmarkEnd w:id="9"/>
    <w:p>
      <w:pPr>
        <w:adjustRightInd w:val="0"/>
        <w:snapToGrid w:val="0"/>
        <w:spacing w:line="360" w:lineRule="auto"/>
        <w:ind w:firstLine="440" w:firstLineChars="137"/>
        <w:outlineLvl w:val="0"/>
        <w:rPr>
          <w:b/>
          <w:bCs/>
          <w:sz w:val="32"/>
          <w:szCs w:val="32"/>
          <w:lang w:val="en-US"/>
        </w:rPr>
      </w:pPr>
      <w:bookmarkStart w:id="10" w:name="_Toc20347_WPSOffice_Level1"/>
      <w:bookmarkStart w:id="11" w:name="_Toc9426_WPSOffice_Level1"/>
      <w:bookmarkStart w:id="12" w:name="_Toc21150"/>
      <w:bookmarkStart w:id="13" w:name="_Toc32563_WPSOffice_Level1"/>
      <w:bookmarkStart w:id="14" w:name="_Toc25656110"/>
      <w:bookmarkStart w:id="15" w:name="_Toc13318_WPSOffice_Level1"/>
      <w:bookmarkStart w:id="16" w:name="_Toc10605_WPSOffice_Level1"/>
      <w:bookmarkStart w:id="17" w:name="_Toc7946"/>
      <w:bookmarkStart w:id="18" w:name="_Toc17145"/>
    </w:p>
    <w:p>
      <w:pPr>
        <w:adjustRightInd w:val="0"/>
        <w:snapToGrid w:val="0"/>
        <w:spacing w:line="360" w:lineRule="auto"/>
        <w:ind w:firstLine="440" w:firstLineChars="137"/>
        <w:jc w:val="center"/>
        <w:outlineLvl w:val="0"/>
        <w:rPr>
          <w:b/>
          <w:bCs/>
          <w:sz w:val="32"/>
          <w:szCs w:val="32"/>
          <w:lang w:val="en-US"/>
        </w:rPr>
      </w:pPr>
    </w:p>
    <w:p>
      <w:pPr>
        <w:adjustRightInd w:val="0"/>
        <w:snapToGrid w:val="0"/>
        <w:spacing w:line="360" w:lineRule="auto"/>
        <w:jc w:val="both"/>
        <w:outlineLvl w:val="0"/>
        <w:rPr>
          <w:b/>
          <w:bCs/>
          <w:sz w:val="32"/>
          <w:szCs w:val="32"/>
          <w:lang w:val="en-US"/>
        </w:rPr>
      </w:pPr>
      <w:bookmarkStart w:id="19" w:name="_Toc10127"/>
      <w:bookmarkStart w:id="20" w:name="_Toc14002"/>
    </w:p>
    <w:p>
      <w:pPr>
        <w:adjustRightInd w:val="0"/>
        <w:snapToGrid w:val="0"/>
        <w:spacing w:line="360" w:lineRule="auto"/>
        <w:ind w:firstLine="440" w:firstLineChars="137"/>
        <w:jc w:val="center"/>
        <w:outlineLvl w:val="0"/>
        <w:rPr>
          <w:b/>
          <w:bCs/>
          <w:sz w:val="32"/>
          <w:szCs w:val="32"/>
          <w:lang w:val="en-US"/>
        </w:rPr>
      </w:pPr>
      <w:bookmarkStart w:id="21" w:name="_Toc25823"/>
      <w:bookmarkStart w:id="22" w:name="_Toc11827"/>
    </w:p>
    <w:p>
      <w:pPr>
        <w:adjustRightInd w:val="0"/>
        <w:snapToGrid w:val="0"/>
        <w:spacing w:line="360" w:lineRule="auto"/>
        <w:ind w:firstLine="440" w:firstLineChars="137"/>
        <w:jc w:val="center"/>
        <w:outlineLvl w:val="0"/>
        <w:rPr>
          <w:b/>
          <w:bCs/>
          <w:sz w:val="32"/>
          <w:szCs w:val="32"/>
          <w:lang w:val="en-US"/>
        </w:rPr>
        <w:sectPr>
          <w:pgSz w:w="11910" w:h="16840"/>
          <w:pgMar w:top="1440" w:right="1077" w:bottom="1440" w:left="1077" w:header="0" w:footer="816" w:gutter="0"/>
          <w:cols w:space="720" w:num="1"/>
        </w:sectPr>
      </w:pPr>
      <w:r>
        <w:rPr>
          <w:rFonts w:hint="eastAsia"/>
          <w:b/>
          <w:bCs/>
          <w:sz w:val="32"/>
          <w:szCs w:val="32"/>
          <w:lang w:val="en-US"/>
        </w:rPr>
        <w:t>第一部分  竞投公告</w:t>
      </w:r>
      <w:bookmarkEnd w:id="10"/>
      <w:bookmarkEnd w:id="11"/>
      <w:bookmarkEnd w:id="12"/>
      <w:bookmarkEnd w:id="13"/>
      <w:bookmarkEnd w:id="14"/>
      <w:bookmarkEnd w:id="15"/>
      <w:bookmarkEnd w:id="16"/>
      <w:bookmarkEnd w:id="17"/>
      <w:bookmarkEnd w:id="18"/>
      <w:bookmarkEnd w:id="19"/>
      <w:bookmarkEnd w:id="20"/>
      <w:bookmarkEnd w:id="21"/>
      <w:bookmarkEnd w:id="22"/>
    </w:p>
    <w:p>
      <w:pPr>
        <w:adjustRightInd w:val="0"/>
        <w:snapToGrid w:val="0"/>
        <w:spacing w:line="360" w:lineRule="auto"/>
        <w:ind w:firstLine="321" w:firstLineChars="100"/>
        <w:rPr>
          <w:b/>
          <w:bCs/>
          <w:sz w:val="32"/>
          <w:szCs w:val="32"/>
          <w:u w:val="single"/>
        </w:rPr>
      </w:pPr>
      <w:bookmarkStart w:id="23" w:name="本公开招租文件包括以下组成部分："/>
      <w:bookmarkEnd w:id="23"/>
      <w:bookmarkStart w:id="24" w:name="承租权招租公告"/>
      <w:bookmarkEnd w:id="24"/>
      <w:bookmarkStart w:id="25" w:name="容桂街道容光路以南、新有路以东之一地块"/>
      <w:bookmarkEnd w:id="25"/>
      <w:bookmarkStart w:id="26" w:name="_Toc15289_WPSOffice_Level2"/>
      <w:bookmarkStart w:id="27" w:name="_Toc17772_WPSOffice_Level2"/>
      <w:bookmarkStart w:id="28" w:name="_Toc1444_WPSOffice_Level2"/>
      <w:bookmarkStart w:id="29" w:name="_Toc6936_WPSOffice_Level2"/>
      <w:bookmarkStart w:id="30" w:name="_Toc7496_WPSOffice_Level2"/>
      <w:bookmarkStart w:id="31" w:name="_Toc21250_WPSOffice_Level2"/>
      <w:bookmarkStart w:id="32" w:name="_Hlk85613759"/>
      <w:bookmarkStart w:id="33" w:name="_Hlk129936685"/>
      <w:bookmarkStart w:id="34" w:name="_Hlk103930126"/>
      <w:r>
        <w:rPr>
          <w:rFonts w:hint="eastAsia"/>
          <w:b/>
          <w:bCs/>
          <w:sz w:val="32"/>
          <w:szCs w:val="32"/>
        </w:rPr>
        <w:t>顺德拍卖行关于</w:t>
      </w:r>
      <w:bookmarkEnd w:id="26"/>
      <w:bookmarkEnd w:id="27"/>
      <w:bookmarkEnd w:id="28"/>
      <w:bookmarkEnd w:id="29"/>
      <w:bookmarkEnd w:id="30"/>
      <w:bookmarkEnd w:id="31"/>
      <w:r>
        <w:rPr>
          <w:rFonts w:hint="eastAsia"/>
          <w:b/>
          <w:bCs/>
          <w:sz w:val="32"/>
          <w:szCs w:val="32"/>
          <w:u w:val="single"/>
        </w:rPr>
        <w:t>容桂街道小黄圃社区眉蕉河沿岸、科龙职中以南</w:t>
      </w:r>
    </w:p>
    <w:p>
      <w:pPr>
        <w:adjustRightInd w:val="0"/>
        <w:snapToGrid w:val="0"/>
        <w:spacing w:line="360" w:lineRule="auto"/>
        <w:ind w:firstLine="2891" w:firstLineChars="900"/>
        <w:rPr>
          <w:b/>
          <w:w w:val="95"/>
          <w:sz w:val="32"/>
          <w:u w:val="single"/>
        </w:rPr>
      </w:pPr>
      <w:r>
        <w:rPr>
          <w:rFonts w:hint="eastAsia"/>
          <w:b/>
          <w:bCs/>
          <w:sz w:val="32"/>
          <w:szCs w:val="32"/>
          <w:u w:val="single"/>
        </w:rPr>
        <w:t>地块一公开招租竞投</w:t>
      </w:r>
      <w:r>
        <w:rPr>
          <w:rFonts w:hint="eastAsia"/>
          <w:b/>
          <w:w w:val="95"/>
          <w:sz w:val="32"/>
          <w:u w:val="single"/>
          <w:lang w:val="en-US"/>
        </w:rPr>
        <w:t>公告</w:t>
      </w:r>
    </w:p>
    <w:bookmarkEnd w:id="32"/>
    <w:p>
      <w:pPr>
        <w:adjustRightInd w:val="0"/>
        <w:snapToGrid w:val="0"/>
        <w:spacing w:line="360" w:lineRule="auto"/>
        <w:ind w:firstLine="480" w:firstLineChars="200"/>
        <w:jc w:val="both"/>
        <w:rPr>
          <w:sz w:val="24"/>
          <w:szCs w:val="24"/>
        </w:rPr>
      </w:pPr>
      <w:r>
        <w:rPr>
          <w:rFonts w:hint="eastAsia"/>
          <w:sz w:val="24"/>
          <w:szCs w:val="24"/>
        </w:rPr>
        <w:t>佛山市顺德拍卖行有限公司（下称：拍卖人）受佛山市顺德区容桂时光文旅产业有限公司（下称“出租人”）委托，定于</w:t>
      </w:r>
      <w:r>
        <w:rPr>
          <w:rFonts w:hint="eastAsia"/>
          <w:sz w:val="24"/>
          <w:szCs w:val="24"/>
          <w:u w:val="single"/>
          <w:lang w:val="en-US"/>
        </w:rPr>
        <w:t>2023</w:t>
      </w:r>
      <w:r>
        <w:rPr>
          <w:rFonts w:hint="eastAsia"/>
          <w:sz w:val="24"/>
          <w:szCs w:val="24"/>
          <w:u w:val="single"/>
        </w:rPr>
        <w:t>年</w:t>
      </w:r>
      <w:r>
        <w:rPr>
          <w:rFonts w:hint="eastAsia"/>
          <w:sz w:val="24"/>
          <w:szCs w:val="24"/>
          <w:u w:val="single"/>
          <w:lang w:val="en-US" w:eastAsia="zh-CN"/>
        </w:rPr>
        <w:t>11</w:t>
      </w:r>
      <w:r>
        <w:rPr>
          <w:rFonts w:hint="eastAsia"/>
          <w:sz w:val="24"/>
          <w:szCs w:val="24"/>
          <w:u w:val="single"/>
        </w:rPr>
        <w:t>月</w:t>
      </w:r>
      <w:r>
        <w:rPr>
          <w:rFonts w:hint="eastAsia"/>
          <w:sz w:val="24"/>
          <w:szCs w:val="24"/>
          <w:u w:val="single"/>
          <w:lang w:val="en-US" w:eastAsia="zh-CN"/>
        </w:rPr>
        <w:t>30</w:t>
      </w:r>
      <w:r>
        <w:rPr>
          <w:rFonts w:hint="eastAsia"/>
          <w:sz w:val="24"/>
          <w:szCs w:val="24"/>
          <w:u w:val="single"/>
        </w:rPr>
        <w:t>日</w:t>
      </w:r>
      <w:r>
        <w:rPr>
          <w:rFonts w:hint="eastAsia"/>
          <w:sz w:val="24"/>
          <w:szCs w:val="24"/>
        </w:rPr>
        <w:t>下午</w:t>
      </w:r>
      <w:r>
        <w:rPr>
          <w:rFonts w:hint="eastAsia"/>
          <w:sz w:val="24"/>
          <w:szCs w:val="24"/>
          <w:lang w:val="en-US"/>
        </w:rPr>
        <w:t>15</w:t>
      </w:r>
      <w:r>
        <w:rPr>
          <w:rFonts w:hint="eastAsia"/>
          <w:sz w:val="24"/>
          <w:szCs w:val="24"/>
        </w:rPr>
        <w:t>：</w:t>
      </w:r>
      <w:r>
        <w:rPr>
          <w:rFonts w:hint="eastAsia"/>
          <w:sz w:val="24"/>
          <w:szCs w:val="24"/>
          <w:lang w:val="en-US"/>
        </w:rPr>
        <w:t>00</w:t>
      </w:r>
      <w:r>
        <w:rPr>
          <w:rFonts w:hint="eastAsia"/>
          <w:sz w:val="24"/>
          <w:szCs w:val="24"/>
        </w:rPr>
        <w:t>在佛山市顺德区容桂街道桂新西路22号容桂公共资源交易中心交易室【导航搜索：</w:t>
      </w:r>
      <w:r>
        <w:rPr>
          <w:rFonts w:hint="eastAsia"/>
          <w:sz w:val="24"/>
          <w:szCs w:val="24"/>
          <w:lang w:val="en-US"/>
        </w:rPr>
        <w:t>容桂街道桂新西路22号</w:t>
      </w:r>
      <w:r>
        <w:rPr>
          <w:rFonts w:hint="eastAsia"/>
          <w:sz w:val="24"/>
          <w:szCs w:val="24"/>
        </w:rPr>
        <w:t>】对位于</w:t>
      </w:r>
      <w:r>
        <w:rPr>
          <w:rFonts w:hint="eastAsia"/>
          <w:sz w:val="24"/>
          <w:szCs w:val="24"/>
          <w:u w:val="single"/>
        </w:rPr>
        <w:t>容桂街道小黄圃社区眉蕉河沿岸、科龙职中以南地块一</w:t>
      </w:r>
      <w:r>
        <w:rPr>
          <w:rFonts w:hint="eastAsia"/>
          <w:sz w:val="24"/>
          <w:szCs w:val="24"/>
        </w:rPr>
        <w:t>（下称“租赁地块”</w:t>
      </w:r>
      <w:r>
        <w:rPr>
          <w:rFonts w:hint="eastAsia"/>
          <w:sz w:val="24"/>
          <w:szCs w:val="24"/>
          <w:lang w:val="en-US"/>
        </w:rPr>
        <w:t>详见附表1</w:t>
      </w:r>
      <w:r>
        <w:rPr>
          <w:rFonts w:hint="eastAsia"/>
          <w:sz w:val="24"/>
          <w:szCs w:val="24"/>
        </w:rPr>
        <w:t>）的地块承租权进行公开竞投，现将</w:t>
      </w:r>
      <w:r>
        <w:rPr>
          <w:rFonts w:hint="eastAsia"/>
          <w:sz w:val="24"/>
          <w:szCs w:val="24"/>
          <w:lang w:val="en-US"/>
        </w:rPr>
        <w:t>竞投</w:t>
      </w:r>
      <w:r>
        <w:rPr>
          <w:rFonts w:hint="eastAsia"/>
          <w:sz w:val="24"/>
          <w:szCs w:val="24"/>
        </w:rPr>
        <w:t>的有关事宜公告如下：</w:t>
      </w:r>
    </w:p>
    <w:p>
      <w:pPr>
        <w:pStyle w:val="3"/>
        <w:adjustRightInd w:val="0"/>
        <w:snapToGrid w:val="0"/>
        <w:spacing w:line="360" w:lineRule="auto"/>
        <w:ind w:left="0" w:firstLine="424" w:firstLineChars="176"/>
        <w:jc w:val="both"/>
        <w:rPr>
          <w:rFonts w:ascii="宋体" w:hAnsi="宋体" w:eastAsia="宋体" w:cs="宋体"/>
          <w:sz w:val="24"/>
          <w:szCs w:val="24"/>
        </w:rPr>
      </w:pPr>
      <w:bookmarkStart w:id="35" w:name="_Toc30326"/>
      <w:bookmarkStart w:id="36" w:name="_Toc7893_WPSOffice_Level2"/>
      <w:bookmarkStart w:id="37" w:name="_Toc24631_WPSOffice_Level2"/>
      <w:bookmarkStart w:id="38" w:name="_Toc15634"/>
      <w:bookmarkStart w:id="39" w:name="_Toc6826"/>
      <w:bookmarkStart w:id="40" w:name="_Toc26542"/>
      <w:bookmarkStart w:id="41" w:name="_Toc25656111"/>
      <w:bookmarkStart w:id="42" w:name="_Toc6064"/>
      <w:bookmarkStart w:id="43" w:name="_Toc21660"/>
      <w:bookmarkStart w:id="44" w:name="_Toc5595"/>
      <w:bookmarkStart w:id="45" w:name="_Toc17267"/>
      <w:bookmarkStart w:id="46" w:name="_Toc21633_WPSOffice_Level2"/>
      <w:bookmarkStart w:id="47" w:name="_Toc19120_WPSOffice_Level2"/>
      <w:r>
        <w:rPr>
          <w:rFonts w:hint="eastAsia" w:ascii="宋体" w:hAnsi="宋体" w:eastAsia="宋体" w:cs="宋体"/>
          <w:sz w:val="24"/>
          <w:szCs w:val="24"/>
        </w:rPr>
        <w:t>一、租赁物竞投基本情况</w:t>
      </w:r>
      <w:bookmarkEnd w:id="35"/>
      <w:bookmarkEnd w:id="36"/>
      <w:bookmarkEnd w:id="37"/>
      <w:bookmarkEnd w:id="38"/>
      <w:bookmarkEnd w:id="39"/>
      <w:bookmarkEnd w:id="40"/>
      <w:bookmarkEnd w:id="41"/>
      <w:bookmarkEnd w:id="42"/>
      <w:bookmarkEnd w:id="43"/>
      <w:bookmarkEnd w:id="44"/>
      <w:bookmarkEnd w:id="45"/>
      <w:bookmarkEnd w:id="46"/>
      <w:bookmarkEnd w:id="47"/>
    </w:p>
    <w:p>
      <w:pPr>
        <w:adjustRightInd w:val="0"/>
        <w:snapToGrid w:val="0"/>
        <w:spacing w:line="360" w:lineRule="auto"/>
        <w:ind w:firstLine="480" w:firstLineChars="200"/>
        <w:jc w:val="both"/>
        <w:rPr>
          <w:sz w:val="24"/>
          <w:szCs w:val="24"/>
        </w:rPr>
      </w:pPr>
      <w:r>
        <w:rPr>
          <w:rFonts w:hint="eastAsia"/>
          <w:sz w:val="24"/>
          <w:szCs w:val="24"/>
        </w:rPr>
        <w:t>（一）租赁地块的情况、用途及租赁要求：</w:t>
      </w:r>
    </w:p>
    <w:p>
      <w:pPr>
        <w:adjustRightInd w:val="0"/>
        <w:snapToGrid w:val="0"/>
        <w:spacing w:line="360" w:lineRule="auto"/>
        <w:ind w:firstLine="480" w:firstLineChars="200"/>
        <w:jc w:val="both"/>
        <w:rPr>
          <w:sz w:val="24"/>
          <w:szCs w:val="24"/>
        </w:rPr>
      </w:pPr>
      <w:r>
        <w:rPr>
          <w:rFonts w:hint="eastAsia"/>
          <w:sz w:val="24"/>
          <w:szCs w:val="24"/>
        </w:rPr>
        <w:t>1、</w:t>
      </w:r>
      <w:r>
        <w:rPr>
          <w:rFonts w:hint="eastAsia"/>
          <w:sz w:val="24"/>
          <w:szCs w:val="24"/>
          <w:lang w:val="en-US"/>
        </w:rPr>
        <w:t>本次竞投的</w:t>
      </w:r>
      <w:r>
        <w:rPr>
          <w:rFonts w:hint="eastAsia"/>
          <w:sz w:val="24"/>
          <w:szCs w:val="24"/>
        </w:rPr>
        <w:t>租赁地块共</w:t>
      </w:r>
      <w:r>
        <w:rPr>
          <w:rFonts w:hint="eastAsia"/>
          <w:sz w:val="24"/>
          <w:szCs w:val="24"/>
          <w:lang w:val="en-US"/>
        </w:rPr>
        <w:t>壹</w:t>
      </w:r>
      <w:r>
        <w:rPr>
          <w:rFonts w:hint="eastAsia"/>
          <w:sz w:val="24"/>
          <w:szCs w:val="24"/>
        </w:rPr>
        <w:t>宗</w:t>
      </w:r>
      <w:r>
        <w:rPr>
          <w:rFonts w:hint="eastAsia"/>
          <w:sz w:val="24"/>
          <w:szCs w:val="24"/>
          <w:lang w:val="en-US"/>
        </w:rPr>
        <w:t>【竞投地块明细详见附表1</w:t>
      </w:r>
      <w:r>
        <w:rPr>
          <w:rFonts w:hint="eastAsia"/>
          <w:sz w:val="24"/>
          <w:szCs w:val="24"/>
        </w:rPr>
        <w:t>】，租赁地块总用地面积：10074.98㎡，其中建筑总面积987.41平方米，绿地及空地面积8114.71平方米，耕地保有量范围1320.73平方米【</w:t>
      </w:r>
      <w:r>
        <w:rPr>
          <w:rFonts w:hint="eastAsia"/>
          <w:sz w:val="24"/>
          <w:szCs w:val="24"/>
          <w:lang w:val="en-US"/>
        </w:rPr>
        <w:t>详见附表1或附件2（宗地平面图），</w:t>
      </w:r>
      <w:r>
        <w:rPr>
          <w:rFonts w:hint="eastAsia"/>
          <w:sz w:val="24"/>
          <w:szCs w:val="24"/>
        </w:rPr>
        <w:t>以最终测量为准。】</w:t>
      </w:r>
    </w:p>
    <w:p>
      <w:pPr>
        <w:adjustRightInd w:val="0"/>
        <w:snapToGrid w:val="0"/>
        <w:spacing w:line="360" w:lineRule="auto"/>
        <w:ind w:firstLine="480" w:firstLineChars="200"/>
        <w:jc w:val="both"/>
        <w:rPr>
          <w:sz w:val="24"/>
          <w:szCs w:val="24"/>
        </w:rPr>
      </w:pPr>
      <w:r>
        <w:rPr>
          <w:rFonts w:hint="eastAsia"/>
          <w:sz w:val="24"/>
          <w:szCs w:val="24"/>
        </w:rPr>
        <w:t>2、租赁地块用途：该项目主要用作国画、粤剧文化展示及弘扬美食文化展示、耕地种植、开放性公园，其中耕地保有量范围1320.73平方米仅限于耕地种植；用于美食文化展示的总面积不超过200平方米。承租方经营使用需符合相关行业要求，且须获相关职能部门审批通过及办理相关证照；承租方需引进获得省级或以上专业资格证书的艺术家进驻开展文化艺术类服务，所引驻的艺术家及艺术项目的相关资料需提交给</w:t>
      </w:r>
      <w:r>
        <w:rPr>
          <w:rFonts w:hint="eastAsia"/>
          <w:sz w:val="24"/>
          <w:szCs w:val="24"/>
          <w:lang w:eastAsia="zh-CN"/>
        </w:rPr>
        <w:t>出租方</w:t>
      </w:r>
      <w:r>
        <w:rPr>
          <w:rFonts w:hint="eastAsia"/>
          <w:sz w:val="24"/>
          <w:szCs w:val="24"/>
        </w:rPr>
        <w:t>备案，其中首次引入需满足以下要求：承租方需至少引进一名国家级画家（国家一级美术师）进驻，且至少引进一名著名粤剧表演艺术家（国家一级演员及中国戏剧梅花奖得主）进驻，引进符合上述条件的艺术家进驻时间不能少于5年，若原引进的艺术家在约定时间内提前退出的，则需补充引入同等级别的艺术家进驻，或其他经出租方书面同意的艺术项目。承租方需在本合同签订之日起90日内将所引驻的艺术家及艺术项目的相关资料提交给</w:t>
      </w:r>
      <w:r>
        <w:rPr>
          <w:rFonts w:hint="eastAsia"/>
          <w:sz w:val="24"/>
          <w:szCs w:val="24"/>
          <w:lang w:eastAsia="zh-CN"/>
        </w:rPr>
        <w:t>出租方</w:t>
      </w:r>
      <w:r>
        <w:rPr>
          <w:rFonts w:hint="eastAsia"/>
          <w:sz w:val="24"/>
          <w:szCs w:val="24"/>
        </w:rPr>
        <w:t>备案。备案资料包括但不限于：艺术家签约进驻协议文本（需艺术家本人签字）、签约艺术家介绍、签约项目介绍（说明合作内容、项目性质、项目经费情况、项目合作期限和艺术家进驻工作时间等；在租赁范围内作为公益用途的场所，承租方必须免费对外开放，且承租方需每季度至少开展1场公益性活动（包括但不限于公益性展览展示、公益性培训等相关活动），全年累计组织开展公益性活动不少于5场，其中公益性培训活动全年累计不少于100人次参与。开展公益活动的佐证材料（包括但不限于活动方案、现场图片、签到表、作品成果等），承租方需于每年度结束后15个工作日内，将佐证材料报</w:t>
      </w:r>
      <w:r>
        <w:rPr>
          <w:rFonts w:hint="eastAsia"/>
          <w:sz w:val="24"/>
          <w:szCs w:val="24"/>
          <w:lang w:eastAsia="zh-CN"/>
        </w:rPr>
        <w:t>出租方</w:t>
      </w:r>
      <w:r>
        <w:rPr>
          <w:rFonts w:hint="eastAsia"/>
          <w:sz w:val="24"/>
          <w:szCs w:val="24"/>
        </w:rPr>
        <w:t>备案。</w:t>
      </w:r>
    </w:p>
    <w:p>
      <w:pPr>
        <w:adjustRightInd w:val="0"/>
        <w:snapToGrid w:val="0"/>
        <w:spacing w:line="360" w:lineRule="auto"/>
        <w:ind w:firstLine="480" w:firstLineChars="200"/>
        <w:jc w:val="both"/>
        <w:rPr>
          <w:sz w:val="24"/>
          <w:szCs w:val="24"/>
        </w:rPr>
      </w:pPr>
      <w:r>
        <w:rPr>
          <w:rFonts w:hint="eastAsia"/>
          <w:sz w:val="24"/>
          <w:szCs w:val="24"/>
          <w:lang w:val="en-US"/>
        </w:rPr>
        <w:t>3</w:t>
      </w:r>
      <w:r>
        <w:rPr>
          <w:rFonts w:hint="eastAsia"/>
          <w:sz w:val="24"/>
          <w:szCs w:val="24"/>
        </w:rPr>
        <w:t>、竞投人已充分了解租赁物的权属、面积（含实用面积）、现状、用途、规划、位置、相关行政部门的使用要求、所处环境、所处气候等，竞投人接受前述租赁物的条件，没有任何异议，愿意按现状承租该租赁地块。竞投人完全接受租赁地块一切已知和未知的瑕疵并自负责任。</w:t>
      </w:r>
    </w:p>
    <w:p>
      <w:pPr>
        <w:adjustRightInd w:val="0"/>
        <w:snapToGrid w:val="0"/>
        <w:spacing w:line="360" w:lineRule="auto"/>
        <w:ind w:firstLine="480" w:firstLineChars="200"/>
        <w:jc w:val="both"/>
        <w:rPr>
          <w:sz w:val="24"/>
          <w:szCs w:val="24"/>
        </w:rPr>
      </w:pPr>
      <w:r>
        <w:rPr>
          <w:rFonts w:hint="eastAsia"/>
          <w:sz w:val="24"/>
          <w:szCs w:val="24"/>
        </w:rPr>
        <w:t>竞得人不得以租赁地块存在任何瑕疵为由向出租人主张任何责任，向出租人索取赔偿、补偿等款项、拖欠租金或单方要求解除租赁关系（合同的特别约定除外），出租人不承担租赁物的瑕疵保证。</w:t>
      </w:r>
    </w:p>
    <w:p>
      <w:pPr>
        <w:numPr>
          <w:ilvl w:val="0"/>
          <w:numId w:val="1"/>
        </w:numPr>
        <w:adjustRightInd w:val="0"/>
        <w:snapToGrid w:val="0"/>
        <w:spacing w:line="360" w:lineRule="auto"/>
        <w:ind w:firstLine="480" w:firstLineChars="200"/>
        <w:jc w:val="both"/>
        <w:rPr>
          <w:sz w:val="24"/>
          <w:szCs w:val="24"/>
        </w:rPr>
      </w:pPr>
      <w:r>
        <w:rPr>
          <w:rFonts w:hint="eastAsia"/>
          <w:sz w:val="24"/>
          <w:szCs w:val="24"/>
        </w:rPr>
        <w:t>租赁期限：租赁期为20年（以签订《移交确认书》之日起计算），租赁期内免租6个月。</w:t>
      </w:r>
    </w:p>
    <w:p>
      <w:pPr>
        <w:adjustRightInd w:val="0"/>
        <w:snapToGrid w:val="0"/>
        <w:spacing w:line="360" w:lineRule="auto"/>
        <w:ind w:firstLine="480" w:firstLineChars="200"/>
        <w:jc w:val="both"/>
        <w:rPr>
          <w:sz w:val="24"/>
          <w:szCs w:val="24"/>
        </w:rPr>
      </w:pPr>
      <w:r>
        <w:rPr>
          <w:rFonts w:hint="eastAsia"/>
          <w:sz w:val="24"/>
          <w:szCs w:val="24"/>
        </w:rPr>
        <w:t>（三）竞价方式：明标。</w:t>
      </w:r>
    </w:p>
    <w:p>
      <w:pPr>
        <w:adjustRightInd w:val="0"/>
        <w:snapToGrid w:val="0"/>
        <w:spacing w:line="360" w:lineRule="auto"/>
        <w:ind w:firstLine="480" w:firstLineChars="200"/>
        <w:jc w:val="both"/>
        <w:rPr>
          <w:sz w:val="24"/>
          <w:szCs w:val="24"/>
        </w:rPr>
      </w:pPr>
      <w:r>
        <w:rPr>
          <w:rFonts w:hint="eastAsia"/>
          <w:sz w:val="24"/>
          <w:szCs w:val="24"/>
        </w:rPr>
        <w:t>（四）竞投底价：￥ 16235.00元 /月</w:t>
      </w:r>
      <w:r>
        <w:rPr>
          <w:sz w:val="24"/>
          <w:szCs w:val="24"/>
        </w:rPr>
        <w:t>。</w:t>
      </w:r>
    </w:p>
    <w:p>
      <w:pPr>
        <w:adjustRightInd w:val="0"/>
        <w:snapToGrid w:val="0"/>
        <w:spacing w:line="360" w:lineRule="auto"/>
        <w:ind w:firstLine="480" w:firstLineChars="200"/>
        <w:jc w:val="both"/>
        <w:rPr>
          <w:sz w:val="24"/>
          <w:szCs w:val="24"/>
        </w:rPr>
      </w:pPr>
      <w:r>
        <w:rPr>
          <w:rFonts w:hint="eastAsia"/>
          <w:sz w:val="24"/>
          <w:szCs w:val="24"/>
        </w:rPr>
        <w:t>（五）竞价阶梯：起投价低于</w:t>
      </w:r>
      <w:r>
        <w:rPr>
          <w:rFonts w:hint="eastAsia"/>
          <w:sz w:val="24"/>
          <w:szCs w:val="24"/>
          <w:lang w:val="en-US"/>
        </w:rPr>
        <w:t>2</w:t>
      </w:r>
      <w:r>
        <w:rPr>
          <w:rFonts w:hint="eastAsia"/>
          <w:sz w:val="24"/>
          <w:szCs w:val="24"/>
        </w:rPr>
        <w:t>000</w:t>
      </w:r>
      <w:r>
        <w:rPr>
          <w:rFonts w:hint="eastAsia"/>
          <w:sz w:val="24"/>
          <w:szCs w:val="24"/>
          <w:lang w:val="en-US"/>
        </w:rPr>
        <w:t>0</w:t>
      </w:r>
      <w:r>
        <w:rPr>
          <w:rFonts w:hint="eastAsia"/>
          <w:sz w:val="24"/>
          <w:szCs w:val="24"/>
        </w:rPr>
        <w:t>元每次举牌递增人民币</w:t>
      </w:r>
      <w:r>
        <w:rPr>
          <w:rFonts w:hint="eastAsia"/>
          <w:sz w:val="24"/>
          <w:szCs w:val="24"/>
          <w:lang w:val="en-US"/>
        </w:rPr>
        <w:t>100</w:t>
      </w:r>
      <w:r>
        <w:rPr>
          <w:sz w:val="24"/>
          <w:szCs w:val="24"/>
        </w:rPr>
        <w:t>.00</w:t>
      </w:r>
      <w:r>
        <w:rPr>
          <w:rFonts w:hint="eastAsia"/>
          <w:sz w:val="24"/>
          <w:szCs w:val="24"/>
        </w:rPr>
        <w:t>元/月；起投价超过</w:t>
      </w:r>
      <w:r>
        <w:rPr>
          <w:rFonts w:hint="eastAsia"/>
          <w:sz w:val="24"/>
          <w:szCs w:val="24"/>
          <w:lang w:val="en-US"/>
        </w:rPr>
        <w:t>2</w:t>
      </w:r>
      <w:r>
        <w:rPr>
          <w:rFonts w:hint="eastAsia"/>
          <w:sz w:val="24"/>
          <w:szCs w:val="24"/>
        </w:rPr>
        <w:t>000</w:t>
      </w:r>
      <w:r>
        <w:rPr>
          <w:rFonts w:hint="eastAsia"/>
          <w:sz w:val="24"/>
          <w:szCs w:val="24"/>
          <w:lang w:val="en-US"/>
        </w:rPr>
        <w:t>0</w:t>
      </w:r>
      <w:r>
        <w:rPr>
          <w:rFonts w:hint="eastAsia"/>
          <w:sz w:val="24"/>
          <w:szCs w:val="24"/>
        </w:rPr>
        <w:t>元每次举牌递增人民币</w:t>
      </w:r>
      <w:r>
        <w:rPr>
          <w:rFonts w:hint="eastAsia"/>
          <w:sz w:val="24"/>
          <w:szCs w:val="24"/>
          <w:lang w:val="en-US"/>
        </w:rPr>
        <w:t>200</w:t>
      </w:r>
      <w:r>
        <w:rPr>
          <w:sz w:val="24"/>
          <w:szCs w:val="24"/>
        </w:rPr>
        <w:t>.00</w:t>
      </w:r>
      <w:r>
        <w:rPr>
          <w:rFonts w:hint="eastAsia"/>
          <w:sz w:val="24"/>
          <w:szCs w:val="24"/>
        </w:rPr>
        <w:t>元/月。主持人可根据实际情况调整“竞价阶梯”。</w:t>
      </w:r>
    </w:p>
    <w:p>
      <w:pPr>
        <w:adjustRightInd w:val="0"/>
        <w:snapToGrid w:val="0"/>
        <w:spacing w:line="360" w:lineRule="auto"/>
        <w:ind w:firstLine="480" w:firstLineChars="200"/>
        <w:jc w:val="both"/>
        <w:rPr>
          <w:sz w:val="24"/>
          <w:szCs w:val="24"/>
        </w:rPr>
      </w:pPr>
      <w:r>
        <w:rPr>
          <w:rFonts w:hint="eastAsia"/>
          <w:sz w:val="24"/>
          <w:szCs w:val="24"/>
        </w:rPr>
        <w:t>（六）租金递增情况：租金每3年在上一年租金基础上递增10%。</w:t>
      </w:r>
    </w:p>
    <w:p>
      <w:pPr>
        <w:adjustRightInd w:val="0"/>
        <w:snapToGrid w:val="0"/>
        <w:spacing w:line="360" w:lineRule="auto"/>
        <w:ind w:firstLine="480" w:firstLineChars="200"/>
        <w:jc w:val="both"/>
        <w:rPr>
          <w:sz w:val="24"/>
          <w:szCs w:val="24"/>
        </w:rPr>
      </w:pPr>
      <w:r>
        <w:rPr>
          <w:rFonts w:hint="eastAsia"/>
          <w:sz w:val="24"/>
          <w:szCs w:val="24"/>
        </w:rPr>
        <w:t>（七）租金标准：签订合同之日起5日内支付首期租金，之后竞得人必须于每月十五号前缴付当月租金给出租人，拖欠租金不得用履约保证金抵扣。</w:t>
      </w:r>
    </w:p>
    <w:p>
      <w:pPr>
        <w:adjustRightInd w:val="0"/>
        <w:snapToGrid w:val="0"/>
        <w:spacing w:line="360" w:lineRule="auto"/>
        <w:ind w:firstLine="480" w:firstLineChars="200"/>
        <w:jc w:val="both"/>
        <w:rPr>
          <w:sz w:val="24"/>
          <w:szCs w:val="24"/>
        </w:rPr>
      </w:pPr>
      <w:r>
        <w:rPr>
          <w:rFonts w:hint="eastAsia"/>
          <w:sz w:val="24"/>
          <w:szCs w:val="24"/>
        </w:rPr>
        <w:t>（八）竞投保证金：详见附表</w:t>
      </w:r>
      <w:r>
        <w:rPr>
          <w:sz w:val="24"/>
          <w:szCs w:val="24"/>
        </w:rPr>
        <w:t>1。</w:t>
      </w:r>
    </w:p>
    <w:p>
      <w:pPr>
        <w:adjustRightInd w:val="0"/>
        <w:snapToGrid w:val="0"/>
        <w:spacing w:line="360" w:lineRule="auto"/>
        <w:ind w:firstLine="480" w:firstLineChars="200"/>
        <w:jc w:val="both"/>
        <w:rPr>
          <w:sz w:val="24"/>
          <w:szCs w:val="24"/>
        </w:rPr>
      </w:pPr>
      <w:r>
        <w:rPr>
          <w:rFonts w:hint="eastAsia"/>
          <w:sz w:val="24"/>
          <w:szCs w:val="24"/>
        </w:rPr>
        <w:t>（九）履约保证金：竞得人须于成交公告公示期满之日起</w:t>
      </w:r>
      <w:r>
        <w:rPr>
          <w:sz w:val="24"/>
          <w:szCs w:val="24"/>
        </w:rPr>
        <w:t>5个工作日内向出租人一次性支付履约保证金，租赁期为</w:t>
      </w:r>
      <w:r>
        <w:rPr>
          <w:rFonts w:hint="eastAsia"/>
          <w:sz w:val="24"/>
          <w:szCs w:val="24"/>
          <w:lang w:val="en-US"/>
        </w:rPr>
        <w:t>20</w:t>
      </w:r>
      <w:r>
        <w:rPr>
          <w:sz w:val="24"/>
          <w:szCs w:val="24"/>
        </w:rPr>
        <w:t>年</w:t>
      </w:r>
      <w:r>
        <w:rPr>
          <w:rFonts w:hint="eastAsia"/>
          <w:sz w:val="24"/>
          <w:szCs w:val="24"/>
        </w:rPr>
        <w:t>的标的物的履约保证金按</w:t>
      </w:r>
      <w:r>
        <w:rPr>
          <w:sz w:val="24"/>
          <w:szCs w:val="24"/>
          <w:u w:val="single"/>
          <w:lang w:val="en-US"/>
        </w:rPr>
        <w:t>6</w:t>
      </w:r>
      <w:r>
        <w:rPr>
          <w:sz w:val="24"/>
          <w:szCs w:val="24"/>
        </w:rPr>
        <w:t>个</w:t>
      </w:r>
      <w:r>
        <w:rPr>
          <w:rFonts w:hint="eastAsia"/>
          <w:sz w:val="24"/>
          <w:szCs w:val="24"/>
        </w:rPr>
        <w:t>月租金计算以出租人收款账户到账时间为准【如竞得人在竞得该标的物后没有在规定时间内向出租人缴交足额的履约保证金的，出租人将上述行为视为该竞得人属于不诚信行为，出租人有权全额没收竞得人的竞投保证经并对竞得人追讨由上述行为给出租人带来的一切经济损失，赔偿金额按计算方式：按该标的物中标金额/30日*从本竞投公告公示之日起至本标的物再次招租成功并签订《租赁合同》之日期间的天数。同时，出租人可将物业收回重新招租。】</w:t>
      </w:r>
    </w:p>
    <w:p>
      <w:pPr>
        <w:adjustRightInd w:val="0"/>
        <w:snapToGrid w:val="0"/>
        <w:spacing w:line="360" w:lineRule="auto"/>
        <w:ind w:firstLine="480" w:firstLineChars="200"/>
        <w:jc w:val="both"/>
        <w:rPr>
          <w:sz w:val="24"/>
          <w:szCs w:val="24"/>
        </w:rPr>
      </w:pPr>
      <w:r>
        <w:rPr>
          <w:rFonts w:hint="eastAsia"/>
          <w:sz w:val="24"/>
          <w:szCs w:val="24"/>
        </w:rPr>
        <w:t>（十）交易代理服务费：由竞得人支付。竞得人须支付的交易代理服务费</w:t>
      </w:r>
      <w:bookmarkStart w:id="48" w:name="_Hlk77604861"/>
      <w:r>
        <w:rPr>
          <w:rFonts w:hint="eastAsia"/>
          <w:sz w:val="24"/>
          <w:szCs w:val="24"/>
        </w:rPr>
        <w:t>按租赁期内合计总租金的1%收取</w:t>
      </w:r>
      <w:bookmarkEnd w:id="48"/>
      <w:r>
        <w:rPr>
          <w:rFonts w:hint="eastAsia"/>
          <w:sz w:val="24"/>
          <w:szCs w:val="24"/>
        </w:rPr>
        <w:t>（服务费一次收取），但不超过</w:t>
      </w:r>
      <w:r>
        <w:rPr>
          <w:rFonts w:hint="eastAsia"/>
          <w:sz w:val="24"/>
          <w:szCs w:val="24"/>
          <w:lang w:val="en-US"/>
        </w:rPr>
        <w:t>8000元</w:t>
      </w:r>
      <w:r>
        <w:rPr>
          <w:rFonts w:hint="eastAsia"/>
          <w:sz w:val="24"/>
          <w:szCs w:val="24"/>
        </w:rPr>
        <w:t>，交易代理服务费从竞投保证金里扣除，如竞投保证金不足以抵扣交易代理服务费的，竞得人需在签订合同之日起</w:t>
      </w:r>
      <w:r>
        <w:rPr>
          <w:sz w:val="24"/>
          <w:szCs w:val="24"/>
        </w:rPr>
        <w:t>3个工作日内补缴欠缺的交易代理服务费，逾期不交者，出租人有权</w:t>
      </w:r>
      <w:r>
        <w:rPr>
          <w:rFonts w:hint="eastAsia"/>
          <w:sz w:val="24"/>
          <w:szCs w:val="24"/>
        </w:rPr>
        <w:t>视为竞得人放弃竞得资格，出租人有权与竞得人解除已签订的租赁合同，已缴交的竞投保证金将不予退回，出租人可将物业收回重新招租，出租人有权向竞得人追讨因此而造成一切损失和重新招租的费用，竞得人应承担相应法律责任。赔偿金额按计算方式：按该标的物中标金额</w:t>
      </w:r>
      <w:r>
        <w:rPr>
          <w:sz w:val="24"/>
          <w:szCs w:val="24"/>
        </w:rPr>
        <w:t>/30日*从本竞投公告公示之日起至本标的</w:t>
      </w:r>
      <w:r>
        <w:rPr>
          <w:rFonts w:hint="eastAsia"/>
          <w:sz w:val="24"/>
          <w:szCs w:val="24"/>
        </w:rPr>
        <w:t>物再次招租成功并签订《租赁合同》之日期间的天数。</w:t>
      </w:r>
    </w:p>
    <w:p>
      <w:pPr>
        <w:adjustRightInd w:val="0"/>
        <w:snapToGrid w:val="0"/>
        <w:spacing w:line="360" w:lineRule="auto"/>
        <w:ind w:firstLine="480" w:firstLineChars="200"/>
        <w:jc w:val="both"/>
        <w:rPr>
          <w:sz w:val="24"/>
          <w:szCs w:val="24"/>
        </w:rPr>
      </w:pPr>
      <w:r>
        <w:rPr>
          <w:rFonts w:hint="eastAsia"/>
          <w:sz w:val="24"/>
          <w:szCs w:val="24"/>
        </w:rPr>
        <w:t>（十一）租赁物的使用范围：按合同要求。</w:t>
      </w:r>
    </w:p>
    <w:p>
      <w:pPr>
        <w:adjustRightInd w:val="0"/>
        <w:snapToGrid w:val="0"/>
        <w:spacing w:line="360" w:lineRule="auto"/>
        <w:ind w:firstLine="480" w:firstLineChars="200"/>
        <w:jc w:val="both"/>
        <w:rPr>
          <w:sz w:val="24"/>
          <w:szCs w:val="24"/>
        </w:rPr>
      </w:pPr>
      <w:r>
        <w:rPr>
          <w:rFonts w:hint="eastAsia"/>
          <w:sz w:val="24"/>
          <w:szCs w:val="24"/>
        </w:rPr>
        <w:t>（十二）竞得人主要权利义务：</w:t>
      </w:r>
    </w:p>
    <w:p>
      <w:pPr>
        <w:adjustRightInd w:val="0"/>
        <w:snapToGrid w:val="0"/>
        <w:spacing w:line="360" w:lineRule="auto"/>
        <w:ind w:firstLine="480" w:firstLineChars="200"/>
        <w:jc w:val="both"/>
        <w:rPr>
          <w:sz w:val="24"/>
          <w:szCs w:val="24"/>
        </w:rPr>
      </w:pPr>
      <w:r>
        <w:rPr>
          <w:rFonts w:hint="eastAsia"/>
          <w:sz w:val="24"/>
          <w:szCs w:val="24"/>
        </w:rPr>
        <w:t>1、签订租赁合同之日前，竞得人需根据公开招租文件的要求缴交对应中标租赁地块的履约保证金。</w:t>
      </w:r>
    </w:p>
    <w:p>
      <w:pPr>
        <w:adjustRightInd w:val="0"/>
        <w:snapToGrid w:val="0"/>
        <w:spacing w:line="360" w:lineRule="auto"/>
        <w:ind w:firstLine="480" w:firstLineChars="200"/>
        <w:jc w:val="both"/>
        <w:rPr>
          <w:sz w:val="24"/>
          <w:szCs w:val="24"/>
        </w:rPr>
      </w:pPr>
      <w:r>
        <w:rPr>
          <w:rFonts w:hint="eastAsia"/>
          <w:sz w:val="24"/>
          <w:szCs w:val="24"/>
        </w:rPr>
        <w:t>2、若租赁地块内存在占用方，竞得人需自行清退占用方，竞得人不得以任何瑕疵为由向出租方主张任何责任，向出租方索取赔偿、补偿等款项、拖欠租金或单方要求解除租赁关系，出租方不承担租赁地块的瑕疵保证。</w:t>
      </w:r>
    </w:p>
    <w:p>
      <w:pPr>
        <w:adjustRightInd w:val="0"/>
        <w:snapToGrid w:val="0"/>
        <w:spacing w:line="360" w:lineRule="auto"/>
        <w:ind w:firstLine="480" w:firstLineChars="200"/>
        <w:jc w:val="both"/>
        <w:rPr>
          <w:sz w:val="24"/>
          <w:szCs w:val="24"/>
        </w:rPr>
      </w:pPr>
      <w:r>
        <w:rPr>
          <w:rFonts w:hint="eastAsia"/>
          <w:sz w:val="24"/>
          <w:szCs w:val="24"/>
        </w:rPr>
        <w:t>3、出租人有权对竞得人履行本款项约定的情况进行监督检查验收，竞得人应无条件配合。经出租人监督检查，发现竞得人未按本款项的约定履行义务的，出租人有权向竞得人发出整改通知，要求竞得人限期整改，竞得人拒不整改的，出租人有权单方解除租赁合同。</w:t>
      </w:r>
    </w:p>
    <w:p>
      <w:pPr>
        <w:adjustRightInd w:val="0"/>
        <w:snapToGrid w:val="0"/>
        <w:spacing w:line="360" w:lineRule="auto"/>
        <w:ind w:firstLine="480" w:firstLineChars="200"/>
        <w:jc w:val="both"/>
        <w:rPr>
          <w:sz w:val="24"/>
          <w:szCs w:val="24"/>
        </w:rPr>
      </w:pPr>
      <w:r>
        <w:rPr>
          <w:rFonts w:hint="eastAsia"/>
          <w:sz w:val="24"/>
          <w:szCs w:val="24"/>
        </w:rPr>
        <w:t>4、竞得人提供的服务必须符合国家有关法律、法规的规定，若因竞得人产品质量原因导致人身损害由竞得人承担全部责任，与出租方无关。</w:t>
      </w:r>
    </w:p>
    <w:p>
      <w:pPr>
        <w:adjustRightInd w:val="0"/>
        <w:snapToGrid w:val="0"/>
        <w:spacing w:line="360" w:lineRule="auto"/>
        <w:ind w:firstLine="480" w:firstLineChars="200"/>
        <w:jc w:val="both"/>
        <w:rPr>
          <w:sz w:val="24"/>
          <w:szCs w:val="24"/>
        </w:rPr>
      </w:pPr>
      <w:r>
        <w:rPr>
          <w:rFonts w:hint="eastAsia"/>
          <w:sz w:val="24"/>
          <w:szCs w:val="24"/>
        </w:rPr>
        <w:t>5、承租方用水用电自行解决。</w:t>
      </w:r>
    </w:p>
    <w:p>
      <w:pPr>
        <w:adjustRightInd w:val="0"/>
        <w:snapToGrid w:val="0"/>
        <w:spacing w:line="360" w:lineRule="auto"/>
        <w:ind w:firstLine="480" w:firstLineChars="200"/>
        <w:jc w:val="both"/>
        <w:rPr>
          <w:sz w:val="24"/>
          <w:szCs w:val="24"/>
        </w:rPr>
      </w:pPr>
      <w:r>
        <w:rPr>
          <w:rFonts w:hint="eastAsia"/>
          <w:sz w:val="24"/>
          <w:szCs w:val="24"/>
        </w:rPr>
        <w:t>（十三）其他事项（具体内容详见《租赁合同》模板，若本竞价公告的相关要求与《租赁合同》模板的约定不一致的，以《租赁合同》为准。</w:t>
      </w:r>
    </w:p>
    <w:p>
      <w:pPr>
        <w:pStyle w:val="3"/>
        <w:tabs>
          <w:tab w:val="center" w:pos="3496"/>
        </w:tabs>
        <w:adjustRightInd w:val="0"/>
        <w:snapToGrid w:val="0"/>
        <w:spacing w:line="360" w:lineRule="auto"/>
        <w:ind w:left="0" w:firstLine="424" w:firstLineChars="177"/>
        <w:jc w:val="both"/>
        <w:rPr>
          <w:rFonts w:ascii="宋体" w:hAnsi="宋体" w:eastAsia="宋体" w:cs="宋体"/>
          <w:b w:val="0"/>
          <w:bCs w:val="0"/>
          <w:color w:val="FF0000"/>
          <w:sz w:val="24"/>
          <w:szCs w:val="24"/>
        </w:rPr>
      </w:pPr>
      <w:bookmarkStart w:id="49" w:name="_Toc22747"/>
      <w:bookmarkStart w:id="50" w:name="_Toc17489_WPSOffice_Level2"/>
      <w:bookmarkStart w:id="51" w:name="_Toc9493"/>
      <w:bookmarkStart w:id="52" w:name="_Toc10345"/>
      <w:bookmarkStart w:id="53" w:name="_Toc25656112"/>
      <w:bookmarkStart w:id="54" w:name="_Toc12459"/>
      <w:bookmarkStart w:id="55" w:name="_Toc24749"/>
      <w:bookmarkStart w:id="56" w:name="_Toc29072_WPSOffice_Level2"/>
      <w:bookmarkStart w:id="57" w:name="_Toc7489"/>
      <w:bookmarkStart w:id="58" w:name="_Toc1258_WPSOffice_Level2"/>
      <w:bookmarkStart w:id="59" w:name="_Toc14369"/>
      <w:bookmarkStart w:id="60" w:name="_Toc32335"/>
      <w:bookmarkStart w:id="61" w:name="_Toc10630_WPSOffice_Level2"/>
      <w:r>
        <w:rPr>
          <w:rFonts w:hint="eastAsia" w:ascii="宋体" w:hAnsi="宋体" w:eastAsia="宋体" w:cs="宋体"/>
          <w:b w:val="0"/>
          <w:bCs w:val="0"/>
          <w:color w:val="000000" w:themeColor="text1"/>
          <w:sz w:val="24"/>
          <w:szCs w:val="24"/>
          <w14:textFill>
            <w14:solidFill>
              <w14:schemeClr w14:val="tx1"/>
            </w14:solidFill>
          </w14:textFill>
        </w:rPr>
        <w:t>二、竞投人资格及要求</w:t>
      </w:r>
      <w:bookmarkEnd w:id="49"/>
      <w:bookmarkEnd w:id="50"/>
      <w:bookmarkEnd w:id="51"/>
      <w:bookmarkEnd w:id="52"/>
      <w:bookmarkEnd w:id="53"/>
      <w:bookmarkEnd w:id="54"/>
      <w:bookmarkEnd w:id="55"/>
      <w:bookmarkEnd w:id="56"/>
      <w:bookmarkEnd w:id="57"/>
      <w:bookmarkEnd w:id="58"/>
      <w:bookmarkEnd w:id="59"/>
      <w:bookmarkEnd w:id="60"/>
      <w:bookmarkEnd w:id="61"/>
      <w:r>
        <w:rPr>
          <w:rFonts w:ascii="宋体" w:hAnsi="宋体" w:eastAsia="宋体" w:cs="宋体"/>
          <w:b w:val="0"/>
          <w:bCs w:val="0"/>
          <w:color w:val="FF0000"/>
          <w:sz w:val="24"/>
          <w:szCs w:val="24"/>
        </w:rPr>
        <w:tab/>
      </w:r>
    </w:p>
    <w:p>
      <w:pPr>
        <w:adjustRightInd w:val="0"/>
        <w:snapToGrid w:val="0"/>
        <w:spacing w:line="360" w:lineRule="auto"/>
        <w:ind w:firstLine="480" w:firstLineChars="200"/>
        <w:jc w:val="both"/>
        <w:rPr>
          <w:sz w:val="24"/>
          <w:szCs w:val="24"/>
        </w:rPr>
      </w:pPr>
      <w:bookmarkStart w:id="62" w:name="_Toc15349"/>
      <w:bookmarkStart w:id="63" w:name="_Toc15403_WPSOffice_Level2"/>
      <w:bookmarkStart w:id="64" w:name="_Toc4106"/>
      <w:bookmarkStart w:id="65" w:name="_Toc25656113"/>
      <w:bookmarkStart w:id="66" w:name="_Toc3828_WPSOffice_Level2"/>
      <w:bookmarkStart w:id="67" w:name="_Toc17580_WPSOffice_Level2"/>
      <w:bookmarkStart w:id="68" w:name="_Toc2588"/>
      <w:bookmarkStart w:id="69" w:name="_Toc24942"/>
      <w:bookmarkStart w:id="70" w:name="_Toc637"/>
      <w:bookmarkStart w:id="71" w:name="_Toc16395_WPSOffice_Level2"/>
      <w:bookmarkStart w:id="72" w:name="_Toc12938"/>
      <w:bookmarkStart w:id="73" w:name="_Toc11140"/>
      <w:bookmarkStart w:id="74" w:name="_Toc28456"/>
      <w:r>
        <w:rPr>
          <w:rFonts w:hint="eastAsia"/>
          <w:sz w:val="24"/>
          <w:szCs w:val="24"/>
        </w:rPr>
        <w:t>（一）竞投人必须是在中华人民共和国合法运作且具备有效营业执照的独立法人机构或具有民事责任能力的自然人。</w:t>
      </w:r>
    </w:p>
    <w:p>
      <w:pPr>
        <w:adjustRightInd w:val="0"/>
        <w:snapToGrid w:val="0"/>
        <w:spacing w:line="360" w:lineRule="auto"/>
        <w:ind w:firstLine="480" w:firstLineChars="200"/>
        <w:jc w:val="both"/>
        <w:rPr>
          <w:sz w:val="24"/>
          <w:szCs w:val="24"/>
        </w:rPr>
      </w:pPr>
      <w:r>
        <w:rPr>
          <w:rFonts w:hint="eastAsia"/>
          <w:sz w:val="24"/>
          <w:szCs w:val="24"/>
        </w:rPr>
        <w:t>（二）本项目不接受联合体竞价。</w:t>
      </w:r>
    </w:p>
    <w:p>
      <w:pPr>
        <w:adjustRightInd w:val="0"/>
        <w:snapToGrid w:val="0"/>
        <w:spacing w:line="360" w:lineRule="auto"/>
        <w:ind w:firstLine="480" w:firstLineChars="200"/>
        <w:jc w:val="both"/>
        <w:rPr>
          <w:sz w:val="24"/>
          <w:szCs w:val="24"/>
        </w:rPr>
      </w:pPr>
      <w:r>
        <w:rPr>
          <w:rFonts w:hint="eastAsia"/>
          <w:sz w:val="24"/>
          <w:szCs w:val="24"/>
        </w:rPr>
        <w:t>（三）信誉良好（无犯罪记录、无拖欠出租人包括但不限于租金、税项、费用等、无不良的竞投记录）。</w:t>
      </w:r>
    </w:p>
    <w:p>
      <w:pPr>
        <w:adjustRightInd w:val="0"/>
        <w:snapToGrid w:val="0"/>
        <w:spacing w:line="360" w:lineRule="auto"/>
        <w:ind w:firstLine="480" w:firstLineChars="200"/>
        <w:jc w:val="both"/>
        <w:rPr>
          <w:sz w:val="24"/>
          <w:szCs w:val="24"/>
        </w:rPr>
      </w:pPr>
      <w:r>
        <w:rPr>
          <w:rFonts w:hint="eastAsia"/>
          <w:sz w:val="24"/>
          <w:szCs w:val="24"/>
        </w:rPr>
        <w:t>（四）出租人禁止曾经违反竞投规定（包括但不限于悔拍、恶意竞价、围标串标等行为）、对出租人利益造成损害的意向竞投人参加竞投。</w:t>
      </w:r>
    </w:p>
    <w:p>
      <w:pPr>
        <w:adjustRightInd w:val="0"/>
        <w:snapToGrid w:val="0"/>
        <w:spacing w:line="360" w:lineRule="auto"/>
        <w:ind w:firstLine="480" w:firstLineChars="200"/>
        <w:jc w:val="both"/>
        <w:rPr>
          <w:sz w:val="24"/>
          <w:szCs w:val="24"/>
        </w:rPr>
      </w:pPr>
      <w:r>
        <w:rPr>
          <w:rFonts w:hint="eastAsia"/>
          <w:sz w:val="24"/>
          <w:szCs w:val="24"/>
        </w:rPr>
        <w:t>（五）对于曾经违反竞投会场纪律、扰乱竞投秩序的意向竞投人，拍卖人禁止其参加本次租赁权竞投。</w:t>
      </w:r>
    </w:p>
    <w:p>
      <w:pPr>
        <w:adjustRightInd w:val="0"/>
        <w:snapToGrid w:val="0"/>
        <w:spacing w:line="360" w:lineRule="auto"/>
        <w:ind w:firstLine="480" w:firstLineChars="200"/>
        <w:jc w:val="both"/>
        <w:rPr>
          <w:sz w:val="24"/>
          <w:szCs w:val="24"/>
        </w:rPr>
      </w:pPr>
      <w:r>
        <w:rPr>
          <w:rFonts w:hint="eastAsia"/>
          <w:sz w:val="24"/>
          <w:szCs w:val="24"/>
        </w:rPr>
        <w:t>（六）现场竞价，价高者成交。</w:t>
      </w:r>
    </w:p>
    <w:p>
      <w:pPr>
        <w:adjustRightInd w:val="0"/>
        <w:snapToGrid w:val="0"/>
        <w:spacing w:line="360" w:lineRule="auto"/>
        <w:ind w:firstLine="480" w:firstLineChars="200"/>
        <w:jc w:val="both"/>
        <w:rPr>
          <w:sz w:val="24"/>
          <w:szCs w:val="24"/>
        </w:rPr>
      </w:pPr>
      <w:r>
        <w:rPr>
          <w:rFonts w:hint="eastAsia"/>
          <w:sz w:val="24"/>
          <w:szCs w:val="24"/>
        </w:rPr>
        <w:t>（七）其他事项详见公开招租文件。</w:t>
      </w:r>
    </w:p>
    <w:p>
      <w:pPr>
        <w:adjustRightInd w:val="0"/>
        <w:snapToGrid w:val="0"/>
        <w:spacing w:line="360" w:lineRule="auto"/>
        <w:ind w:firstLine="480" w:firstLineChars="200"/>
        <w:jc w:val="both"/>
        <w:rPr>
          <w:sz w:val="24"/>
          <w:szCs w:val="24"/>
        </w:rPr>
      </w:pPr>
      <w:r>
        <w:rPr>
          <w:rFonts w:hint="eastAsia"/>
          <w:sz w:val="24"/>
          <w:szCs w:val="24"/>
        </w:rPr>
        <w:t>三、竞投方式</w:t>
      </w:r>
      <w:bookmarkEnd w:id="62"/>
      <w:bookmarkEnd w:id="63"/>
      <w:bookmarkEnd w:id="64"/>
      <w:bookmarkEnd w:id="65"/>
      <w:bookmarkEnd w:id="66"/>
      <w:bookmarkEnd w:id="67"/>
      <w:bookmarkEnd w:id="68"/>
      <w:bookmarkEnd w:id="69"/>
      <w:bookmarkEnd w:id="70"/>
      <w:bookmarkEnd w:id="71"/>
      <w:bookmarkEnd w:id="72"/>
      <w:bookmarkEnd w:id="73"/>
      <w:bookmarkEnd w:id="74"/>
    </w:p>
    <w:p>
      <w:pPr>
        <w:adjustRightInd w:val="0"/>
        <w:snapToGrid w:val="0"/>
        <w:spacing w:line="360" w:lineRule="auto"/>
        <w:ind w:firstLine="480" w:firstLineChars="200"/>
        <w:jc w:val="both"/>
        <w:rPr>
          <w:sz w:val="24"/>
          <w:szCs w:val="24"/>
        </w:rPr>
      </w:pPr>
      <w:r>
        <w:rPr>
          <w:rFonts w:hint="eastAsia"/>
          <w:sz w:val="24"/>
          <w:szCs w:val="24"/>
        </w:rPr>
        <w:t>本次竞投项目按照价高者得方式成交，起投价低于</w:t>
      </w:r>
      <w:r>
        <w:rPr>
          <w:rFonts w:hint="eastAsia"/>
          <w:sz w:val="24"/>
          <w:szCs w:val="24"/>
          <w:lang w:val="en-US"/>
        </w:rPr>
        <w:t>2</w:t>
      </w:r>
      <w:r>
        <w:rPr>
          <w:rFonts w:hint="eastAsia"/>
          <w:sz w:val="24"/>
          <w:szCs w:val="24"/>
        </w:rPr>
        <w:t>000</w:t>
      </w:r>
      <w:r>
        <w:rPr>
          <w:rFonts w:hint="eastAsia"/>
          <w:sz w:val="24"/>
          <w:szCs w:val="24"/>
          <w:lang w:val="en-US"/>
        </w:rPr>
        <w:t>0</w:t>
      </w:r>
      <w:r>
        <w:rPr>
          <w:rFonts w:hint="eastAsia"/>
          <w:sz w:val="24"/>
          <w:szCs w:val="24"/>
        </w:rPr>
        <w:t>元每次举牌递增人民币</w:t>
      </w:r>
      <w:r>
        <w:rPr>
          <w:rFonts w:hint="eastAsia"/>
          <w:sz w:val="24"/>
          <w:szCs w:val="24"/>
          <w:lang w:val="en-US"/>
        </w:rPr>
        <w:t>100</w:t>
      </w:r>
      <w:r>
        <w:rPr>
          <w:sz w:val="24"/>
          <w:szCs w:val="24"/>
        </w:rPr>
        <w:t>.00</w:t>
      </w:r>
      <w:r>
        <w:rPr>
          <w:rFonts w:hint="eastAsia"/>
          <w:sz w:val="24"/>
          <w:szCs w:val="24"/>
        </w:rPr>
        <w:t>元/月；起投价超过</w:t>
      </w:r>
      <w:r>
        <w:rPr>
          <w:rFonts w:hint="eastAsia"/>
          <w:sz w:val="24"/>
          <w:szCs w:val="24"/>
          <w:lang w:val="en-US"/>
        </w:rPr>
        <w:t>2</w:t>
      </w:r>
      <w:r>
        <w:rPr>
          <w:rFonts w:hint="eastAsia"/>
          <w:sz w:val="24"/>
          <w:szCs w:val="24"/>
        </w:rPr>
        <w:t>000</w:t>
      </w:r>
      <w:r>
        <w:rPr>
          <w:rFonts w:hint="eastAsia"/>
          <w:sz w:val="24"/>
          <w:szCs w:val="24"/>
          <w:lang w:val="en-US"/>
        </w:rPr>
        <w:t>0</w:t>
      </w:r>
      <w:r>
        <w:rPr>
          <w:rFonts w:hint="eastAsia"/>
          <w:sz w:val="24"/>
          <w:szCs w:val="24"/>
        </w:rPr>
        <w:t>元每次举牌递增人民币</w:t>
      </w:r>
      <w:r>
        <w:rPr>
          <w:rFonts w:hint="eastAsia"/>
          <w:sz w:val="24"/>
          <w:szCs w:val="24"/>
          <w:lang w:val="en-US"/>
        </w:rPr>
        <w:t>200</w:t>
      </w:r>
      <w:r>
        <w:rPr>
          <w:sz w:val="24"/>
          <w:szCs w:val="24"/>
        </w:rPr>
        <w:t>.00</w:t>
      </w:r>
      <w:r>
        <w:rPr>
          <w:rFonts w:hint="eastAsia"/>
          <w:sz w:val="24"/>
          <w:szCs w:val="24"/>
        </w:rPr>
        <w:t>元/月，竞价时主持人可根据现场实际情况调整加价幅度，请详细阅读《竞投须知》。</w:t>
      </w:r>
      <w:bookmarkStart w:id="75" w:name="_Toc7725_WPSOffice_Level2"/>
      <w:bookmarkStart w:id="76" w:name="_Toc26836_WPSOffice_Level2"/>
      <w:bookmarkStart w:id="77" w:name="_Toc27403"/>
      <w:bookmarkStart w:id="78" w:name="_Toc18146"/>
      <w:bookmarkStart w:id="79" w:name="_Toc25656114"/>
      <w:bookmarkStart w:id="80" w:name="_Toc7691_WPSOffice_Level2"/>
      <w:bookmarkStart w:id="81" w:name="_Toc24759_WPSOffice_Level2"/>
    </w:p>
    <w:p>
      <w:pPr>
        <w:pStyle w:val="3"/>
        <w:adjustRightInd w:val="0"/>
        <w:snapToGrid w:val="0"/>
        <w:spacing w:line="360" w:lineRule="auto"/>
        <w:ind w:left="0" w:right="2789" w:firstLine="480" w:firstLineChars="200"/>
        <w:jc w:val="both"/>
        <w:rPr>
          <w:rFonts w:ascii="宋体" w:hAnsi="宋体" w:eastAsia="宋体" w:cs="宋体"/>
          <w:b w:val="0"/>
          <w:bCs w:val="0"/>
          <w:sz w:val="24"/>
          <w:szCs w:val="24"/>
        </w:rPr>
      </w:pPr>
      <w:bookmarkStart w:id="82" w:name="_Toc5228"/>
      <w:bookmarkStart w:id="83" w:name="_Toc24103"/>
      <w:bookmarkStart w:id="84" w:name="_Toc3868"/>
      <w:bookmarkStart w:id="85" w:name="_Toc6415"/>
      <w:bookmarkStart w:id="86" w:name="_Toc30930"/>
      <w:bookmarkStart w:id="87" w:name="_Toc12989"/>
      <w:r>
        <w:rPr>
          <w:rFonts w:hint="eastAsia" w:ascii="宋体" w:hAnsi="宋体" w:eastAsia="宋体" w:cs="宋体"/>
          <w:b w:val="0"/>
          <w:bCs w:val="0"/>
          <w:sz w:val="24"/>
          <w:szCs w:val="24"/>
        </w:rPr>
        <w:t>四、招租公告发布媒</w:t>
      </w:r>
      <w:bookmarkEnd w:id="75"/>
      <w:r>
        <w:rPr>
          <w:rFonts w:hint="eastAsia" w:ascii="宋体" w:hAnsi="宋体" w:eastAsia="宋体" w:cs="宋体"/>
          <w:b w:val="0"/>
          <w:bCs w:val="0"/>
          <w:sz w:val="24"/>
          <w:szCs w:val="24"/>
        </w:rPr>
        <w:t>体</w:t>
      </w:r>
      <w:bookmarkEnd w:id="76"/>
      <w:bookmarkEnd w:id="77"/>
      <w:bookmarkEnd w:id="78"/>
      <w:bookmarkEnd w:id="79"/>
      <w:bookmarkEnd w:id="80"/>
      <w:bookmarkEnd w:id="81"/>
      <w:bookmarkEnd w:id="82"/>
      <w:bookmarkEnd w:id="83"/>
      <w:bookmarkEnd w:id="84"/>
      <w:bookmarkEnd w:id="85"/>
      <w:bookmarkEnd w:id="86"/>
      <w:bookmarkEnd w:id="87"/>
    </w:p>
    <w:p>
      <w:pPr>
        <w:adjustRightInd w:val="0"/>
        <w:snapToGrid w:val="0"/>
        <w:spacing w:line="360" w:lineRule="auto"/>
        <w:ind w:firstLine="480" w:firstLineChars="200"/>
        <w:jc w:val="both"/>
        <w:rPr>
          <w:sz w:val="24"/>
          <w:szCs w:val="24"/>
        </w:rPr>
      </w:pPr>
      <w:r>
        <w:rPr>
          <w:rFonts w:hint="eastAsia"/>
          <w:sz w:val="24"/>
          <w:szCs w:val="24"/>
        </w:rPr>
        <w:t>招租公告将于以下媒体发布：佛山市顺德区公共资源交易中心网站、容桂政务网、顺德拍卖行网站。任何关于本租赁权竞投的事项（包括公告、澄清、修改、成交公告等）均于上述媒体发布。</w:t>
      </w:r>
    </w:p>
    <w:p>
      <w:pPr>
        <w:pStyle w:val="3"/>
        <w:adjustRightInd w:val="0"/>
        <w:snapToGrid w:val="0"/>
        <w:spacing w:line="360" w:lineRule="auto"/>
        <w:ind w:left="0" w:firstLine="424" w:firstLineChars="177"/>
        <w:jc w:val="both"/>
        <w:rPr>
          <w:rFonts w:ascii="宋体" w:hAnsi="宋体" w:eastAsia="宋体" w:cs="宋体"/>
          <w:b w:val="0"/>
          <w:bCs w:val="0"/>
          <w:sz w:val="24"/>
          <w:szCs w:val="24"/>
        </w:rPr>
      </w:pPr>
      <w:bookmarkStart w:id="88" w:name="_Toc11843"/>
      <w:bookmarkStart w:id="89" w:name="_Toc27294"/>
      <w:bookmarkStart w:id="90" w:name="_Toc31226_WPSOffice_Level2"/>
      <w:bookmarkStart w:id="91" w:name="_Toc25628_WPSOffice_Level2"/>
      <w:bookmarkStart w:id="92" w:name="_Toc14871"/>
      <w:bookmarkStart w:id="93" w:name="_Toc1983"/>
      <w:bookmarkStart w:id="94" w:name="_Toc25656115"/>
      <w:bookmarkStart w:id="95" w:name="_Toc31335"/>
      <w:bookmarkStart w:id="96" w:name="_Toc25632_WPSOffice_Level2"/>
      <w:bookmarkStart w:id="97" w:name="_Toc27614"/>
      <w:bookmarkStart w:id="98" w:name="_Toc8979_WPSOffice_Level2"/>
      <w:bookmarkStart w:id="99" w:name="_Toc8586"/>
      <w:bookmarkStart w:id="100" w:name="_Toc24399"/>
      <w:r>
        <w:rPr>
          <w:rFonts w:hint="eastAsia" w:ascii="宋体" w:hAnsi="宋体" w:eastAsia="宋体" w:cs="宋体"/>
          <w:b w:val="0"/>
          <w:bCs w:val="0"/>
          <w:sz w:val="24"/>
          <w:szCs w:val="24"/>
        </w:rPr>
        <w:t>五、文件获取方式</w:t>
      </w:r>
      <w:bookmarkEnd w:id="88"/>
      <w:bookmarkEnd w:id="89"/>
      <w:bookmarkEnd w:id="90"/>
      <w:bookmarkEnd w:id="91"/>
      <w:bookmarkEnd w:id="92"/>
      <w:bookmarkEnd w:id="93"/>
      <w:bookmarkEnd w:id="94"/>
      <w:bookmarkEnd w:id="95"/>
      <w:bookmarkEnd w:id="96"/>
      <w:bookmarkEnd w:id="97"/>
      <w:bookmarkEnd w:id="98"/>
      <w:bookmarkEnd w:id="99"/>
      <w:bookmarkEnd w:id="100"/>
    </w:p>
    <w:p>
      <w:pPr>
        <w:adjustRightInd w:val="0"/>
        <w:snapToGrid w:val="0"/>
        <w:spacing w:line="360" w:lineRule="auto"/>
        <w:ind w:firstLine="480" w:firstLineChars="200"/>
        <w:jc w:val="both"/>
        <w:rPr>
          <w:sz w:val="24"/>
          <w:szCs w:val="24"/>
        </w:rPr>
      </w:pPr>
      <w:r>
        <w:rPr>
          <w:rFonts w:hint="eastAsia"/>
          <w:sz w:val="24"/>
          <w:szCs w:val="24"/>
        </w:rPr>
        <w:t>有意参加竞投的可于佛山市顺德区公共资源交易中心网站、容桂政务网或顺德拍卖行网站自行下载《公开招租文件》，或联系顺德拍卖行袁先生，电话：</w:t>
      </w:r>
      <w:r>
        <w:rPr>
          <w:sz w:val="24"/>
          <w:szCs w:val="24"/>
        </w:rPr>
        <w:t>13612625021（</w:t>
      </w:r>
      <w:r>
        <w:rPr>
          <w:rFonts w:hint="eastAsia"/>
          <w:sz w:val="24"/>
          <w:szCs w:val="24"/>
        </w:rPr>
        <w:t>微信同步）领取相关资料。</w:t>
      </w:r>
      <w:bookmarkStart w:id="101" w:name="_Toc27589_WPSOffice_Level2"/>
      <w:bookmarkStart w:id="102" w:name="_Toc13393_WPSOffice_Level2"/>
      <w:bookmarkStart w:id="103" w:name="_Toc22604"/>
      <w:bookmarkStart w:id="104" w:name="_Toc14956_WPSOffice_Level2"/>
      <w:bookmarkStart w:id="105" w:name="_Toc10251_WPSOffice_Level2"/>
      <w:bookmarkStart w:id="106" w:name="_Toc25656116"/>
    </w:p>
    <w:p>
      <w:pPr>
        <w:pStyle w:val="3"/>
        <w:adjustRightInd w:val="0"/>
        <w:snapToGrid w:val="0"/>
        <w:spacing w:line="360" w:lineRule="auto"/>
        <w:ind w:left="0" w:firstLine="422" w:firstLineChars="176"/>
        <w:jc w:val="both"/>
        <w:rPr>
          <w:rFonts w:ascii="宋体" w:hAnsi="宋体" w:eastAsia="宋体" w:cs="宋体"/>
          <w:b w:val="0"/>
          <w:bCs w:val="0"/>
          <w:sz w:val="24"/>
          <w:szCs w:val="24"/>
        </w:rPr>
      </w:pPr>
      <w:bookmarkStart w:id="107" w:name="_Toc8140"/>
      <w:bookmarkStart w:id="108" w:name="_Toc1644"/>
      <w:bookmarkStart w:id="109" w:name="_Toc7477"/>
      <w:bookmarkStart w:id="110" w:name="_Toc28748"/>
      <w:bookmarkStart w:id="111" w:name="_Toc16446"/>
      <w:bookmarkStart w:id="112" w:name="_Toc7436"/>
      <w:bookmarkStart w:id="113" w:name="_Toc18225"/>
      <w:r>
        <w:rPr>
          <w:rFonts w:hint="eastAsia" w:ascii="宋体" w:hAnsi="宋体" w:eastAsia="宋体" w:cs="宋体"/>
          <w:b w:val="0"/>
          <w:bCs w:val="0"/>
          <w:sz w:val="24"/>
          <w:szCs w:val="24"/>
        </w:rPr>
        <w:t>六、竞投保证金的缴交和退回</w:t>
      </w:r>
      <w:bookmarkEnd w:id="101"/>
      <w:bookmarkEnd w:id="102"/>
      <w:bookmarkEnd w:id="103"/>
      <w:bookmarkEnd w:id="104"/>
      <w:bookmarkEnd w:id="105"/>
      <w:bookmarkEnd w:id="106"/>
      <w:bookmarkEnd w:id="107"/>
      <w:bookmarkEnd w:id="108"/>
      <w:bookmarkEnd w:id="109"/>
      <w:bookmarkEnd w:id="110"/>
      <w:bookmarkEnd w:id="111"/>
      <w:bookmarkEnd w:id="112"/>
      <w:bookmarkEnd w:id="113"/>
    </w:p>
    <w:p>
      <w:pPr>
        <w:adjustRightInd w:val="0"/>
        <w:snapToGrid w:val="0"/>
        <w:spacing w:line="360" w:lineRule="auto"/>
        <w:ind w:firstLine="480" w:firstLineChars="200"/>
        <w:jc w:val="both"/>
        <w:rPr>
          <w:sz w:val="24"/>
          <w:szCs w:val="24"/>
        </w:rPr>
      </w:pPr>
      <w:r>
        <w:rPr>
          <w:rFonts w:hint="eastAsia"/>
          <w:sz w:val="24"/>
          <w:szCs w:val="24"/>
        </w:rPr>
        <w:t>（一）竞投人必须在竞投会的一个工作日前（即</w:t>
      </w:r>
      <w:r>
        <w:rPr>
          <w:sz w:val="24"/>
          <w:szCs w:val="24"/>
        </w:rPr>
        <w:t xml:space="preserve"> </w:t>
      </w:r>
      <w:r>
        <w:rPr>
          <w:sz w:val="24"/>
          <w:szCs w:val="24"/>
          <w:u w:val="single"/>
        </w:rPr>
        <w:t>2023</w:t>
      </w:r>
      <w:r>
        <w:rPr>
          <w:rFonts w:hint="eastAsia"/>
          <w:sz w:val="24"/>
          <w:szCs w:val="24"/>
          <w:u w:val="single"/>
        </w:rPr>
        <w:t>年</w:t>
      </w:r>
      <w:r>
        <w:rPr>
          <w:rFonts w:hint="eastAsia"/>
          <w:sz w:val="24"/>
          <w:szCs w:val="24"/>
          <w:u w:val="single"/>
          <w:lang w:val="en-US" w:eastAsia="zh-CN"/>
        </w:rPr>
        <w:t>11</w:t>
      </w:r>
      <w:r>
        <w:rPr>
          <w:rFonts w:hint="eastAsia"/>
          <w:sz w:val="24"/>
          <w:szCs w:val="24"/>
          <w:u w:val="single"/>
        </w:rPr>
        <w:t>月</w:t>
      </w:r>
      <w:r>
        <w:rPr>
          <w:rFonts w:hint="eastAsia"/>
          <w:sz w:val="24"/>
          <w:szCs w:val="24"/>
          <w:u w:val="single"/>
          <w:lang w:val="en-US" w:eastAsia="zh-CN"/>
        </w:rPr>
        <w:t>29</w:t>
      </w:r>
      <w:r>
        <w:rPr>
          <w:rFonts w:hint="eastAsia"/>
          <w:sz w:val="24"/>
          <w:szCs w:val="24"/>
          <w:u w:val="single"/>
        </w:rPr>
        <w:t>日下午</w:t>
      </w:r>
      <w:r>
        <w:rPr>
          <w:sz w:val="24"/>
          <w:szCs w:val="24"/>
          <w:u w:val="single"/>
        </w:rPr>
        <w:t xml:space="preserve">17:30 </w:t>
      </w:r>
      <w:r>
        <w:rPr>
          <w:rFonts w:hint="eastAsia"/>
          <w:sz w:val="24"/>
          <w:szCs w:val="24"/>
          <w:u w:val="single"/>
        </w:rPr>
        <w:t>前</w:t>
      </w:r>
      <w:r>
        <w:rPr>
          <w:rFonts w:hint="eastAsia"/>
          <w:sz w:val="24"/>
          <w:szCs w:val="24"/>
        </w:rPr>
        <w:t>，以银行达账时间为准）将本公开竞价公告规定的全部竞投保证金以转账方式汇入以下账户。账户名称：佛山市顺德拍卖行有限公司，开户银行：顺德农村商业银行股份有限公司大良鉴兴支行，账号：13098800000119（汇入保证金后须及时联系拍卖人核实是否到账）。</w:t>
      </w:r>
    </w:p>
    <w:p>
      <w:pPr>
        <w:adjustRightInd w:val="0"/>
        <w:snapToGrid w:val="0"/>
        <w:spacing w:line="360" w:lineRule="auto"/>
        <w:ind w:firstLine="480" w:firstLineChars="200"/>
        <w:jc w:val="both"/>
        <w:rPr>
          <w:sz w:val="24"/>
          <w:szCs w:val="24"/>
        </w:rPr>
      </w:pPr>
      <w:r>
        <w:rPr>
          <w:rFonts w:hint="eastAsia"/>
          <w:sz w:val="24"/>
          <w:szCs w:val="24"/>
        </w:rPr>
        <w:t>同时，必须确保存入的保证金在</w:t>
      </w:r>
      <w:r>
        <w:rPr>
          <w:sz w:val="24"/>
          <w:szCs w:val="24"/>
          <w:u w:val="single"/>
        </w:rPr>
        <w:t>2023</w:t>
      </w:r>
      <w:r>
        <w:rPr>
          <w:rFonts w:hint="eastAsia"/>
          <w:sz w:val="24"/>
          <w:szCs w:val="24"/>
          <w:u w:val="single"/>
        </w:rPr>
        <w:t>年</w:t>
      </w:r>
      <w:r>
        <w:rPr>
          <w:rFonts w:hint="eastAsia"/>
          <w:sz w:val="24"/>
          <w:szCs w:val="24"/>
          <w:u w:val="single"/>
          <w:lang w:val="en-US" w:eastAsia="zh-CN"/>
        </w:rPr>
        <w:t>11</w:t>
      </w:r>
      <w:r>
        <w:rPr>
          <w:rFonts w:hint="eastAsia"/>
          <w:sz w:val="24"/>
          <w:szCs w:val="24"/>
          <w:u w:val="single"/>
        </w:rPr>
        <w:t>月</w:t>
      </w:r>
      <w:r>
        <w:rPr>
          <w:rFonts w:hint="eastAsia"/>
          <w:sz w:val="24"/>
          <w:szCs w:val="24"/>
          <w:u w:val="single"/>
          <w:lang w:val="en-US" w:eastAsia="zh-CN"/>
        </w:rPr>
        <w:t>29</w:t>
      </w:r>
      <w:r>
        <w:rPr>
          <w:rFonts w:hint="eastAsia"/>
          <w:sz w:val="24"/>
          <w:szCs w:val="24"/>
          <w:u w:val="single"/>
        </w:rPr>
        <w:t>日</w:t>
      </w:r>
      <w:r>
        <w:rPr>
          <w:rFonts w:hint="eastAsia"/>
          <w:sz w:val="24"/>
          <w:szCs w:val="24"/>
        </w:rPr>
        <w:t>下午</w:t>
      </w:r>
      <w:r>
        <w:rPr>
          <w:sz w:val="24"/>
          <w:szCs w:val="24"/>
        </w:rPr>
        <w:t>17:30</w:t>
      </w:r>
      <w:r>
        <w:rPr>
          <w:rFonts w:hint="eastAsia"/>
          <w:sz w:val="24"/>
          <w:szCs w:val="24"/>
        </w:rPr>
        <w:t xml:space="preserve"> 前以竞投人实名达账【银行转账单上必须注明：对应标的竞投保证金（如：容桂街道</w:t>
      </w:r>
      <w:r>
        <w:rPr>
          <w:sz w:val="24"/>
          <w:szCs w:val="24"/>
        </w:rPr>
        <w:t>XX</w:t>
      </w:r>
      <w:r>
        <w:rPr>
          <w:rFonts w:hint="eastAsia"/>
          <w:sz w:val="24"/>
          <w:szCs w:val="24"/>
        </w:rPr>
        <w:t>竞投保证金，否则不能参与竞投，如有遗漏需补充相关说明)。】</w:t>
      </w:r>
    </w:p>
    <w:p>
      <w:pPr>
        <w:adjustRightInd w:val="0"/>
        <w:snapToGrid w:val="0"/>
        <w:spacing w:line="360" w:lineRule="auto"/>
        <w:ind w:firstLine="480" w:firstLineChars="200"/>
        <w:jc w:val="both"/>
        <w:rPr>
          <w:sz w:val="24"/>
          <w:szCs w:val="24"/>
        </w:rPr>
      </w:pPr>
      <w:r>
        <w:rPr>
          <w:rFonts w:hint="eastAsia"/>
          <w:sz w:val="24"/>
          <w:szCs w:val="24"/>
        </w:rPr>
        <w:t>（二）竞得人按招租文件约定交付合同履约保证金给出租人并与出租人签订合同后，竞投保证金将在扣除相应的交易代理服务费后将剩余部分退还竞得人</w:t>
      </w:r>
      <w:r>
        <w:rPr>
          <w:sz w:val="24"/>
          <w:szCs w:val="24"/>
        </w:rPr>
        <w:t>,如竞投保证金不足以抵扣交易代理服务费的，竞得人需在签订合同之日起3个工作日内补缴欠缺的交易代理服务费，逾期不交者，出租人有权</w:t>
      </w:r>
      <w:r>
        <w:rPr>
          <w:rFonts w:hint="eastAsia"/>
          <w:sz w:val="24"/>
          <w:szCs w:val="24"/>
        </w:rPr>
        <w:t>视为竞得人放弃竞得资格，出租人有权与竞得人解除已签订的租赁合同，已缴交的竞投保证金将不予退回，出租人可将物业收回重新招租，出租人有权向竞得人追讨因此而造成一切损失和重新招租的费用，竞得人应承担相应法律责任。赔偿金额按计算方式：按该标的物中标金额</w:t>
      </w:r>
      <w:r>
        <w:rPr>
          <w:sz w:val="24"/>
          <w:szCs w:val="24"/>
        </w:rPr>
        <w:t>/30日*从本竞投公告公示之日起至本标的</w:t>
      </w:r>
      <w:r>
        <w:rPr>
          <w:rFonts w:hint="eastAsia"/>
          <w:sz w:val="24"/>
          <w:szCs w:val="24"/>
        </w:rPr>
        <w:t>物再次招租成功并签订《租赁合同》（以签订《移交确认书》为准）之日期间的天数。</w:t>
      </w:r>
    </w:p>
    <w:p>
      <w:pPr>
        <w:adjustRightInd w:val="0"/>
        <w:snapToGrid w:val="0"/>
        <w:spacing w:line="360" w:lineRule="auto"/>
        <w:ind w:firstLine="480" w:firstLineChars="200"/>
        <w:jc w:val="both"/>
        <w:rPr>
          <w:sz w:val="24"/>
          <w:szCs w:val="24"/>
        </w:rPr>
      </w:pPr>
      <w:r>
        <w:rPr>
          <w:rFonts w:hint="eastAsia"/>
          <w:sz w:val="24"/>
          <w:szCs w:val="24"/>
        </w:rPr>
        <w:t>（三）竞投人必须确保竞投保证金足额、按时达账。如竞投保证金不能足额、按时到达指定账户，而继续提交资料报名参加竞投，且竞投成功的，出租人将取消其竞得资格，并保留追索赔偿的权利。如属于竞投人故意将竞投保证金全部或部分中途撤回，致使竞投保证金无法足额、按时到达指定账户的，除按上述方法处罚外，还根据情况追究其法律责任。</w:t>
      </w:r>
    </w:p>
    <w:p>
      <w:pPr>
        <w:adjustRightInd w:val="0"/>
        <w:snapToGrid w:val="0"/>
        <w:spacing w:line="360" w:lineRule="auto"/>
        <w:ind w:firstLine="480" w:firstLineChars="200"/>
        <w:jc w:val="both"/>
        <w:rPr>
          <w:sz w:val="24"/>
          <w:szCs w:val="24"/>
        </w:rPr>
      </w:pPr>
      <w:r>
        <w:rPr>
          <w:rFonts w:hint="eastAsia"/>
          <w:sz w:val="24"/>
          <w:szCs w:val="24"/>
        </w:rPr>
        <w:t>（四）凡缴交竞投保证金的竞投人，即视为已承诺一定会到场参加本标的物的竞价租赁，在指定时间内，必须亲自或委托代理人前来佛山市顺德区容桂街道桂新西路22号容桂公共资源交易中心交易室办理递交竞投资料并登记核实（下称：竞投登记手续），参与报价竞投标的物。如未按本公开招租文件规定，前来佛山市顺德区容桂街道桂新西路22号容桂公共资源交易中心交易室办理竞投登记手续的，出租人将视为竞投人自愿放弃本次竞投资格并不予退回已缴交的竞投保证金。</w:t>
      </w:r>
    </w:p>
    <w:p>
      <w:pPr>
        <w:pStyle w:val="3"/>
        <w:adjustRightInd w:val="0"/>
        <w:snapToGrid w:val="0"/>
        <w:spacing w:line="360" w:lineRule="auto"/>
        <w:ind w:left="0" w:firstLine="422" w:firstLineChars="176"/>
        <w:jc w:val="both"/>
        <w:rPr>
          <w:rFonts w:ascii="宋体" w:hAnsi="宋体" w:eastAsia="宋体" w:cs="宋体"/>
          <w:b w:val="0"/>
          <w:bCs w:val="0"/>
          <w:sz w:val="24"/>
          <w:szCs w:val="24"/>
        </w:rPr>
      </w:pPr>
      <w:bookmarkStart w:id="114" w:name="_Toc28322"/>
      <w:bookmarkStart w:id="115" w:name="_Toc24809"/>
      <w:bookmarkStart w:id="116" w:name="_Toc15153_WPSOffice_Level2"/>
      <w:bookmarkStart w:id="117" w:name="_Toc32314_WPSOffice_Level2"/>
      <w:bookmarkStart w:id="118" w:name="_Toc10215"/>
      <w:bookmarkStart w:id="119" w:name="_Toc21264"/>
      <w:bookmarkStart w:id="120" w:name="_Toc1038"/>
      <w:bookmarkStart w:id="121" w:name="_Toc11578_WPSOffice_Level2"/>
      <w:bookmarkStart w:id="122" w:name="_Toc20818_WPSOffice_Level2"/>
      <w:bookmarkStart w:id="123" w:name="_Toc21457"/>
      <w:bookmarkStart w:id="124" w:name="_Toc28154"/>
      <w:bookmarkStart w:id="125" w:name="_Toc3572"/>
      <w:bookmarkStart w:id="126" w:name="_Toc25656117"/>
      <w:r>
        <w:rPr>
          <w:rFonts w:hint="eastAsia" w:ascii="宋体" w:hAnsi="宋体" w:eastAsia="宋体" w:cs="宋体"/>
          <w:b w:val="0"/>
          <w:bCs w:val="0"/>
          <w:sz w:val="24"/>
          <w:szCs w:val="24"/>
        </w:rPr>
        <w:t>七、其它事项</w:t>
      </w:r>
      <w:bookmarkEnd w:id="114"/>
      <w:bookmarkEnd w:id="115"/>
      <w:bookmarkEnd w:id="116"/>
      <w:bookmarkEnd w:id="117"/>
      <w:bookmarkEnd w:id="118"/>
      <w:bookmarkEnd w:id="119"/>
      <w:bookmarkEnd w:id="120"/>
      <w:bookmarkEnd w:id="121"/>
      <w:bookmarkEnd w:id="122"/>
      <w:bookmarkEnd w:id="123"/>
      <w:bookmarkEnd w:id="124"/>
      <w:bookmarkEnd w:id="125"/>
      <w:bookmarkEnd w:id="126"/>
    </w:p>
    <w:p>
      <w:pPr>
        <w:adjustRightInd w:val="0"/>
        <w:snapToGrid w:val="0"/>
        <w:spacing w:line="360" w:lineRule="auto"/>
        <w:ind w:firstLine="480" w:firstLineChars="200"/>
        <w:jc w:val="both"/>
        <w:rPr>
          <w:sz w:val="24"/>
          <w:szCs w:val="24"/>
        </w:rPr>
      </w:pPr>
      <w:r>
        <w:rPr>
          <w:rFonts w:hint="eastAsia"/>
          <w:sz w:val="24"/>
          <w:szCs w:val="24"/>
        </w:rPr>
        <w:t>（一）竞投人必须在竞投会开始前90分钟内即</w:t>
      </w:r>
      <w:r>
        <w:rPr>
          <w:sz w:val="24"/>
          <w:szCs w:val="24"/>
        </w:rPr>
        <w:t xml:space="preserve">  </w:t>
      </w:r>
      <w:r>
        <w:rPr>
          <w:sz w:val="24"/>
          <w:szCs w:val="24"/>
          <w:u w:val="single"/>
        </w:rPr>
        <w:t xml:space="preserve">2023 </w:t>
      </w:r>
      <w:r>
        <w:rPr>
          <w:rFonts w:hint="eastAsia"/>
          <w:sz w:val="24"/>
          <w:szCs w:val="24"/>
          <w:u w:val="single"/>
        </w:rPr>
        <w:t>年</w:t>
      </w:r>
      <w:r>
        <w:rPr>
          <w:rFonts w:hint="eastAsia"/>
          <w:sz w:val="24"/>
          <w:szCs w:val="24"/>
          <w:u w:val="single"/>
          <w:lang w:val="en-US" w:eastAsia="zh-CN"/>
        </w:rPr>
        <w:t>11</w:t>
      </w:r>
      <w:r>
        <w:rPr>
          <w:sz w:val="24"/>
          <w:szCs w:val="24"/>
          <w:u w:val="single"/>
        </w:rPr>
        <w:t>月</w:t>
      </w:r>
      <w:r>
        <w:rPr>
          <w:rFonts w:hint="eastAsia"/>
          <w:sz w:val="24"/>
          <w:szCs w:val="24"/>
          <w:u w:val="single"/>
          <w:lang w:val="en-US" w:eastAsia="zh-CN"/>
        </w:rPr>
        <w:t>30</w:t>
      </w:r>
      <w:r>
        <w:rPr>
          <w:sz w:val="24"/>
          <w:szCs w:val="24"/>
          <w:u w:val="single"/>
        </w:rPr>
        <w:t>日下午13:30至15:00</w:t>
      </w:r>
      <w:r>
        <w:rPr>
          <w:rFonts w:hint="eastAsia"/>
          <w:sz w:val="24"/>
          <w:szCs w:val="24"/>
        </w:rPr>
        <w:t>到佛山市顺德区容桂街道桂新西路22号容桂公共资源交易中心交易室统一办理竞投登记手续【当天15:00后不再接收新竞投人的竞投申请（如有遗漏资料的须在15:00前补齐），已交保证金但未按规定提交资料视为缺席或放弃】。</w:t>
      </w:r>
    </w:p>
    <w:p>
      <w:pPr>
        <w:adjustRightInd w:val="0"/>
        <w:snapToGrid w:val="0"/>
        <w:spacing w:line="360" w:lineRule="auto"/>
        <w:ind w:firstLine="480" w:firstLineChars="200"/>
        <w:jc w:val="both"/>
        <w:rPr>
          <w:sz w:val="24"/>
          <w:szCs w:val="24"/>
        </w:rPr>
      </w:pPr>
      <w:r>
        <w:rPr>
          <w:rFonts w:hint="eastAsia"/>
          <w:sz w:val="24"/>
          <w:szCs w:val="24"/>
        </w:rPr>
        <w:t>（二）竞投人若迟到或缺席竞投的，视为自动放弃办理竞投登记手续，存在其他违规行为（如干扰会场秩序、违反竞投规则、互相串通等）的，取消其竞投资格，并将其逐出竞投会场以及没收其已缴交的全部竞投保证金。具体按公开招租文件的相关规定处理。</w:t>
      </w:r>
    </w:p>
    <w:p>
      <w:pPr>
        <w:adjustRightInd w:val="0"/>
        <w:snapToGrid w:val="0"/>
        <w:spacing w:line="360" w:lineRule="auto"/>
        <w:ind w:firstLine="480" w:firstLineChars="200"/>
        <w:jc w:val="both"/>
        <w:rPr>
          <w:sz w:val="24"/>
          <w:szCs w:val="24"/>
        </w:rPr>
      </w:pPr>
      <w:r>
        <w:rPr>
          <w:rFonts w:hint="eastAsia"/>
          <w:sz w:val="24"/>
          <w:szCs w:val="24"/>
        </w:rPr>
        <w:t>（三）本项目竞投有关事项详见《容桂街道小黄圃社区眉蕉河沿岸、科龙职中以南地块一招租竞投承租权项目》（交易存档号： 容时公【2023】20231107号）。</w:t>
      </w:r>
    </w:p>
    <w:p>
      <w:pPr>
        <w:adjustRightInd w:val="0"/>
        <w:snapToGrid w:val="0"/>
        <w:spacing w:line="360" w:lineRule="auto"/>
        <w:ind w:firstLine="480" w:firstLineChars="200"/>
        <w:jc w:val="both"/>
        <w:rPr>
          <w:sz w:val="24"/>
          <w:szCs w:val="24"/>
        </w:rPr>
      </w:pPr>
      <w:r>
        <w:rPr>
          <w:rFonts w:hint="eastAsia"/>
          <w:sz w:val="24"/>
          <w:szCs w:val="24"/>
        </w:rPr>
        <w:t>（四）租赁地块集中展示日期:</w:t>
      </w:r>
      <w:r>
        <w:rPr>
          <w:sz w:val="24"/>
          <w:szCs w:val="24"/>
        </w:rPr>
        <w:t xml:space="preserve"> </w:t>
      </w:r>
      <w:r>
        <w:rPr>
          <w:rFonts w:hint="eastAsia"/>
          <w:sz w:val="24"/>
          <w:szCs w:val="24"/>
          <w:u w:val="single"/>
          <w:lang w:val="en-US"/>
        </w:rPr>
        <w:t xml:space="preserve"> </w:t>
      </w:r>
      <w:r>
        <w:rPr>
          <w:rFonts w:hint="eastAsia"/>
          <w:sz w:val="24"/>
          <w:szCs w:val="24"/>
          <w:u w:val="single"/>
          <w:lang w:val="en-US" w:eastAsia="zh-CN"/>
        </w:rPr>
        <w:t>11</w:t>
      </w:r>
      <w:r>
        <w:rPr>
          <w:rFonts w:hint="eastAsia"/>
          <w:sz w:val="24"/>
          <w:szCs w:val="24"/>
          <w:u w:val="single"/>
        </w:rPr>
        <w:t>月</w:t>
      </w:r>
      <w:r>
        <w:rPr>
          <w:rFonts w:hint="eastAsia"/>
          <w:sz w:val="24"/>
          <w:szCs w:val="24"/>
          <w:u w:val="single"/>
          <w:lang w:val="en-US" w:eastAsia="zh-CN"/>
        </w:rPr>
        <w:t>23</w:t>
      </w:r>
      <w:r>
        <w:rPr>
          <w:rFonts w:hint="eastAsia"/>
          <w:sz w:val="24"/>
          <w:szCs w:val="24"/>
          <w:u w:val="single"/>
        </w:rPr>
        <w:t>日、</w:t>
      </w:r>
      <w:r>
        <w:rPr>
          <w:rFonts w:hint="eastAsia"/>
          <w:sz w:val="24"/>
          <w:szCs w:val="24"/>
          <w:u w:val="single"/>
          <w:lang w:val="en-US" w:eastAsia="zh-CN"/>
        </w:rPr>
        <w:t>11</w:t>
      </w:r>
      <w:r>
        <w:rPr>
          <w:rFonts w:hint="eastAsia"/>
          <w:sz w:val="24"/>
          <w:szCs w:val="24"/>
          <w:u w:val="single"/>
        </w:rPr>
        <w:t>月</w:t>
      </w:r>
      <w:r>
        <w:rPr>
          <w:rFonts w:hint="eastAsia"/>
          <w:sz w:val="24"/>
          <w:szCs w:val="24"/>
          <w:u w:val="single"/>
          <w:lang w:val="en-US" w:eastAsia="zh-CN"/>
        </w:rPr>
        <w:t>24</w:t>
      </w:r>
      <w:r>
        <w:rPr>
          <w:rFonts w:hint="eastAsia"/>
          <w:sz w:val="24"/>
          <w:szCs w:val="24"/>
          <w:u w:val="single"/>
        </w:rPr>
        <w:t>日</w:t>
      </w:r>
      <w:r>
        <w:rPr>
          <w:rFonts w:hint="eastAsia"/>
          <w:sz w:val="24"/>
          <w:szCs w:val="24"/>
          <w:u w:val="none"/>
        </w:rPr>
        <w:t>，</w:t>
      </w:r>
      <w:r>
        <w:rPr>
          <w:rFonts w:hint="eastAsia"/>
          <w:sz w:val="24"/>
          <w:szCs w:val="24"/>
        </w:rPr>
        <w:t>预约电话：（0757）22232433，详情咨询手机（微信）：13612625021袁先生 ，其余时间可自行前往。</w:t>
      </w:r>
    </w:p>
    <w:p>
      <w:pPr>
        <w:adjustRightInd w:val="0"/>
        <w:snapToGrid w:val="0"/>
        <w:spacing w:line="360" w:lineRule="auto"/>
        <w:ind w:firstLine="480" w:firstLineChars="200"/>
        <w:jc w:val="both"/>
        <w:rPr>
          <w:sz w:val="24"/>
          <w:szCs w:val="24"/>
        </w:rPr>
      </w:pPr>
      <w:r>
        <w:rPr>
          <w:rFonts w:hint="eastAsia"/>
          <w:sz w:val="24"/>
          <w:szCs w:val="24"/>
        </w:rPr>
        <w:t>（五）竞投人在参加本项目的竞投前，应自行到相关的主管部门了解租赁地块的性质、用途、国土、规划、建设要求；相关部门的使用要求等与租赁物有关的一切情况。竞投人参加本项目的竞投并缴纳竞投保证金的，即视为竞投人已清楚了解租赁地块前述所有情况，竞投人不得以租赁地块的前述情况为由向出租人主张损失赔偿款、违约金等款项。若竞投人在竞得租赁地块后，以租赁地块的前述情况为由不与出租人签订租赁合同的，出租人有权没收竞投人的全部竞投保证金，并要求竞投人赔偿因此给出租人造成的经济损失（包括但不限于租赁地块的租金损失、重新招租的损失），经济损失的赔偿金额按计算方式：按该标的物中标金额/30日*从本竞投公告公示之日起至本标的物再次招租成功并签订《租赁合同》（以签订《移交确认书》为准）之日期间的天数。同时，出租人可将物业收回重新招租；若竞得人在签订租赁合同后，以租赁地块的前述情况为由要求解除租赁合同的，出租人有权依租赁合同的约定要求竞得人承担违约责任。</w:t>
      </w:r>
    </w:p>
    <w:p>
      <w:pPr>
        <w:adjustRightInd w:val="0"/>
        <w:snapToGrid w:val="0"/>
        <w:spacing w:before="54" w:line="360" w:lineRule="auto"/>
        <w:ind w:right="800" w:firstLine="420"/>
        <w:jc w:val="both"/>
        <w:rPr>
          <w:sz w:val="24"/>
          <w:szCs w:val="24"/>
        </w:rPr>
      </w:pPr>
    </w:p>
    <w:p>
      <w:pPr>
        <w:adjustRightInd w:val="0"/>
        <w:snapToGrid w:val="0"/>
        <w:spacing w:before="54" w:line="360" w:lineRule="auto"/>
        <w:ind w:right="800" w:firstLine="420"/>
        <w:jc w:val="both"/>
        <w:rPr>
          <w:sz w:val="24"/>
          <w:szCs w:val="24"/>
        </w:rPr>
      </w:pPr>
      <w:r>
        <w:rPr>
          <w:rFonts w:hint="eastAsia"/>
          <w:sz w:val="24"/>
          <w:szCs w:val="24"/>
        </w:rPr>
        <w:t>【本公开招租文件遵守《中华人民共和国拍卖法》、《中华人民共和国民法典》等相关法律法规编制，本资料中“出租人”即佛山市顺德区容桂时光文旅产业有限公司;“拍卖人”即佛山市顺德拍卖行有限公司，“主持人”即国家注册拍卖师】</w:t>
      </w:r>
      <w:bookmarkStart w:id="127" w:name="_Toc25962_WPSOffice_Level2"/>
      <w:bookmarkStart w:id="128" w:name="_Toc13953_WPSOffice_Level2"/>
      <w:bookmarkStart w:id="129" w:name="_Toc22838_WPSOffice_Level2"/>
      <w:bookmarkStart w:id="130" w:name="_Toc14522_WPSOffice_Level2"/>
    </w:p>
    <w:p>
      <w:pPr>
        <w:pStyle w:val="3"/>
        <w:adjustRightInd w:val="0"/>
        <w:snapToGrid w:val="0"/>
        <w:spacing w:line="360" w:lineRule="auto"/>
        <w:ind w:left="0" w:firstLine="422" w:firstLineChars="176"/>
        <w:jc w:val="both"/>
        <w:rPr>
          <w:rFonts w:ascii="宋体" w:hAnsi="宋体" w:eastAsia="宋体" w:cs="宋体"/>
          <w:b w:val="0"/>
          <w:bCs w:val="0"/>
          <w:sz w:val="24"/>
          <w:szCs w:val="24"/>
        </w:rPr>
      </w:pPr>
      <w:bookmarkStart w:id="131" w:name="_Toc23556"/>
      <w:bookmarkStart w:id="132" w:name="_Toc6899"/>
      <w:bookmarkStart w:id="133" w:name="_Toc17539"/>
      <w:bookmarkStart w:id="134" w:name="_Toc22083"/>
      <w:bookmarkStart w:id="135" w:name="_Toc25656118"/>
      <w:bookmarkStart w:id="136" w:name="_Toc15569"/>
      <w:bookmarkStart w:id="137" w:name="_Toc2609"/>
      <w:bookmarkStart w:id="138" w:name="_Toc27660"/>
      <w:bookmarkStart w:id="139" w:name="_Toc3558"/>
      <w:r>
        <w:rPr>
          <w:rFonts w:hint="eastAsia" w:ascii="宋体" w:hAnsi="宋体" w:eastAsia="宋体" w:cs="宋体"/>
          <w:b w:val="0"/>
          <w:bCs w:val="0"/>
          <w:sz w:val="24"/>
          <w:szCs w:val="24"/>
        </w:rPr>
        <w:t>八、联系方式</w:t>
      </w:r>
      <w:bookmarkEnd w:id="127"/>
      <w:bookmarkEnd w:id="128"/>
      <w:bookmarkEnd w:id="129"/>
      <w:bookmarkEnd w:id="130"/>
      <w:bookmarkEnd w:id="131"/>
      <w:bookmarkEnd w:id="132"/>
      <w:bookmarkEnd w:id="133"/>
      <w:bookmarkEnd w:id="134"/>
      <w:bookmarkEnd w:id="135"/>
      <w:bookmarkEnd w:id="136"/>
      <w:bookmarkEnd w:id="137"/>
      <w:bookmarkEnd w:id="138"/>
      <w:bookmarkEnd w:id="139"/>
    </w:p>
    <w:p>
      <w:pPr>
        <w:adjustRightInd w:val="0"/>
        <w:snapToGrid w:val="0"/>
        <w:spacing w:line="360" w:lineRule="auto"/>
        <w:ind w:firstLine="480" w:firstLineChars="200"/>
        <w:jc w:val="both"/>
        <w:rPr>
          <w:sz w:val="24"/>
          <w:szCs w:val="24"/>
        </w:rPr>
      </w:pPr>
      <w:r>
        <w:rPr>
          <w:rFonts w:hint="eastAsia"/>
          <w:sz w:val="24"/>
          <w:szCs w:val="24"/>
        </w:rPr>
        <w:t>（一）出 租 人：佛山市顺德区容桂时光文旅产业有限公司</w:t>
      </w:r>
    </w:p>
    <w:p>
      <w:pPr>
        <w:adjustRightInd w:val="0"/>
        <w:snapToGrid w:val="0"/>
        <w:spacing w:line="360" w:lineRule="auto"/>
        <w:ind w:firstLine="1200" w:firstLineChars="500"/>
        <w:jc w:val="both"/>
        <w:rPr>
          <w:sz w:val="24"/>
          <w:szCs w:val="24"/>
        </w:rPr>
      </w:pPr>
      <w:r>
        <w:rPr>
          <w:rFonts w:hint="eastAsia"/>
          <w:sz w:val="24"/>
          <w:szCs w:val="24"/>
        </w:rPr>
        <w:t>地    址：佛山市顺德区容桂街道小黄圃社区居委会科技创新中心四座</w:t>
      </w:r>
      <w:r>
        <w:rPr>
          <w:sz w:val="24"/>
          <w:szCs w:val="24"/>
        </w:rPr>
        <w:t>12楼</w:t>
      </w:r>
    </w:p>
    <w:p>
      <w:pPr>
        <w:adjustRightInd w:val="0"/>
        <w:snapToGrid w:val="0"/>
        <w:spacing w:line="360" w:lineRule="auto"/>
        <w:ind w:firstLine="1200" w:firstLineChars="500"/>
        <w:jc w:val="both"/>
        <w:rPr>
          <w:sz w:val="24"/>
          <w:szCs w:val="24"/>
        </w:rPr>
      </w:pPr>
      <w:r>
        <w:rPr>
          <w:rFonts w:hint="eastAsia"/>
          <w:sz w:val="24"/>
          <w:szCs w:val="24"/>
        </w:rPr>
        <w:t>联 系 人：陈先生  联系电话：</w:t>
      </w:r>
      <w:r>
        <w:rPr>
          <w:rFonts w:hint="eastAsia"/>
          <w:sz w:val="24"/>
          <w:szCs w:val="24"/>
          <w:lang w:val="en-US"/>
        </w:rPr>
        <w:t>13824506098</w:t>
      </w:r>
    </w:p>
    <w:p>
      <w:pPr>
        <w:numPr>
          <w:ilvl w:val="0"/>
          <w:numId w:val="2"/>
        </w:numPr>
        <w:adjustRightInd w:val="0"/>
        <w:snapToGrid w:val="0"/>
        <w:spacing w:line="360" w:lineRule="auto"/>
        <w:ind w:firstLine="480" w:firstLineChars="200"/>
        <w:jc w:val="both"/>
        <w:rPr>
          <w:sz w:val="24"/>
          <w:szCs w:val="24"/>
        </w:rPr>
      </w:pPr>
      <w:r>
        <w:rPr>
          <w:rFonts w:hint="eastAsia"/>
          <w:sz w:val="24"/>
          <w:szCs w:val="24"/>
        </w:rPr>
        <w:t>交易代理机构：佛山市顺德拍卖行有限公司</w:t>
      </w:r>
    </w:p>
    <w:p>
      <w:pPr>
        <w:adjustRightInd w:val="0"/>
        <w:snapToGrid w:val="0"/>
        <w:spacing w:line="360" w:lineRule="auto"/>
        <w:ind w:left="440" w:leftChars="200" w:firstLine="720" w:firstLineChars="300"/>
        <w:jc w:val="both"/>
        <w:rPr>
          <w:sz w:val="24"/>
          <w:szCs w:val="24"/>
        </w:rPr>
      </w:pPr>
      <w:r>
        <w:rPr>
          <w:rFonts w:hint="eastAsia"/>
          <w:sz w:val="24"/>
          <w:szCs w:val="24"/>
        </w:rPr>
        <w:t>地    址：佛山市顺德区大良鉴海北路118号顺德拍卖行二楼</w:t>
      </w:r>
    </w:p>
    <w:p>
      <w:pPr>
        <w:adjustRightInd w:val="0"/>
        <w:snapToGrid w:val="0"/>
        <w:spacing w:line="360" w:lineRule="auto"/>
        <w:ind w:left="440" w:leftChars="200" w:firstLine="720" w:firstLineChars="300"/>
        <w:jc w:val="both"/>
        <w:rPr>
          <w:sz w:val="24"/>
          <w:szCs w:val="24"/>
        </w:rPr>
      </w:pPr>
      <w:r>
        <w:rPr>
          <w:rFonts w:hint="eastAsia"/>
          <w:sz w:val="24"/>
          <w:szCs w:val="24"/>
        </w:rPr>
        <w:t>联 系 人：袁先生</w:t>
      </w:r>
      <w:r>
        <w:rPr>
          <w:rFonts w:hint="eastAsia"/>
          <w:sz w:val="24"/>
          <w:szCs w:val="24"/>
        </w:rPr>
        <w:tab/>
      </w:r>
      <w:r>
        <w:rPr>
          <w:rFonts w:hint="eastAsia"/>
          <w:sz w:val="24"/>
          <w:szCs w:val="24"/>
        </w:rPr>
        <w:t>联系电话：13612625021</w:t>
      </w:r>
      <w:r>
        <w:rPr>
          <w:sz w:val="24"/>
          <w:szCs w:val="24"/>
        </w:rPr>
        <w:t xml:space="preserve"> 0757-22232433</w:t>
      </w:r>
    </w:p>
    <w:p>
      <w:pPr>
        <w:spacing w:line="360" w:lineRule="auto"/>
        <w:ind w:firstLine="480" w:firstLineChars="200"/>
        <w:jc w:val="both"/>
        <w:rPr>
          <w:sz w:val="24"/>
          <w:szCs w:val="24"/>
        </w:rPr>
      </w:pPr>
      <w:r>
        <w:rPr>
          <w:rFonts w:hint="eastAsia"/>
          <w:sz w:val="24"/>
          <w:szCs w:val="24"/>
        </w:rPr>
        <w:t>（三）监督部门：佛山市顺德区容桂街道财政办公室</w:t>
      </w:r>
    </w:p>
    <w:p>
      <w:pPr>
        <w:spacing w:line="360" w:lineRule="auto"/>
        <w:ind w:firstLine="1200" w:firstLineChars="500"/>
        <w:jc w:val="both"/>
        <w:rPr>
          <w:sz w:val="24"/>
          <w:szCs w:val="24"/>
        </w:rPr>
      </w:pPr>
      <w:r>
        <w:rPr>
          <w:rFonts w:hint="eastAsia"/>
          <w:sz w:val="24"/>
          <w:szCs w:val="24"/>
        </w:rPr>
        <w:t>联 系 人：何小姐</w:t>
      </w:r>
      <w:r>
        <w:rPr>
          <w:rFonts w:hint="eastAsia"/>
          <w:sz w:val="24"/>
          <w:szCs w:val="24"/>
        </w:rPr>
        <w:tab/>
      </w:r>
      <w:r>
        <w:rPr>
          <w:rFonts w:hint="eastAsia"/>
          <w:sz w:val="24"/>
          <w:szCs w:val="24"/>
        </w:rPr>
        <w:t>联系电话：0757-28</w:t>
      </w:r>
      <w:r>
        <w:rPr>
          <w:rFonts w:hint="eastAsia"/>
          <w:sz w:val="24"/>
          <w:szCs w:val="24"/>
          <w:lang w:val="en-US"/>
        </w:rPr>
        <w:t>981592</w:t>
      </w:r>
    </w:p>
    <w:p>
      <w:pPr>
        <w:adjustRightInd w:val="0"/>
        <w:snapToGrid w:val="0"/>
        <w:spacing w:line="360" w:lineRule="auto"/>
        <w:jc w:val="both"/>
        <w:rPr>
          <w:sz w:val="24"/>
          <w:szCs w:val="24"/>
        </w:rPr>
      </w:pPr>
    </w:p>
    <w:p>
      <w:pPr>
        <w:adjustRightInd w:val="0"/>
        <w:snapToGrid w:val="0"/>
        <w:spacing w:line="360" w:lineRule="auto"/>
        <w:ind w:firstLine="240" w:firstLineChars="100"/>
        <w:jc w:val="both"/>
        <w:rPr>
          <w:sz w:val="24"/>
          <w:szCs w:val="24"/>
          <w:lang w:val="en-US"/>
        </w:rPr>
      </w:pPr>
      <w:bookmarkStart w:id="140" w:name="_Toc25511"/>
      <w:bookmarkStart w:id="141" w:name="_Toc19158"/>
      <w:bookmarkStart w:id="142" w:name="_Toc3491"/>
      <w:r>
        <w:rPr>
          <w:rFonts w:hint="eastAsia"/>
          <w:sz w:val="24"/>
          <w:szCs w:val="24"/>
          <w:lang w:val="en-US"/>
        </w:rPr>
        <w:t>九</w:t>
      </w:r>
      <w:r>
        <w:rPr>
          <w:rFonts w:hint="eastAsia"/>
          <w:b/>
          <w:bCs/>
          <w:sz w:val="24"/>
          <w:szCs w:val="24"/>
          <w:lang w:val="en-US"/>
        </w:rPr>
        <w:t>、</w:t>
      </w:r>
      <w:r>
        <w:rPr>
          <w:rFonts w:hint="eastAsia"/>
          <w:sz w:val="24"/>
          <w:szCs w:val="24"/>
          <w:lang w:val="en-US"/>
        </w:rPr>
        <w:t>争议调解</w:t>
      </w:r>
    </w:p>
    <w:p>
      <w:pPr>
        <w:adjustRightInd w:val="0"/>
        <w:snapToGrid w:val="0"/>
        <w:spacing w:line="360" w:lineRule="auto"/>
        <w:ind w:left="440" w:leftChars="200" w:firstLine="720" w:firstLineChars="300"/>
        <w:jc w:val="both"/>
        <w:rPr>
          <w:sz w:val="24"/>
          <w:szCs w:val="24"/>
          <w:lang w:val="en-US"/>
        </w:rPr>
      </w:pPr>
      <w:r>
        <w:rPr>
          <w:rFonts w:hint="eastAsia"/>
          <w:sz w:val="24"/>
          <w:szCs w:val="24"/>
          <w:lang w:val="en-US"/>
        </w:rPr>
        <w:t>采用竞价、拍卖方式的产权交易项目，交易过程中发生争议时，当事人可以向代理机构申请调解。争议涉及代理机构时，当事人可以向</w:t>
      </w:r>
      <w:r>
        <w:rPr>
          <w:rFonts w:hint="eastAsia"/>
          <w:sz w:val="24"/>
          <w:szCs w:val="24"/>
        </w:rPr>
        <w:t>监管部门</w:t>
      </w:r>
      <w:r>
        <w:rPr>
          <w:rFonts w:hint="eastAsia"/>
          <w:sz w:val="24"/>
          <w:szCs w:val="24"/>
          <w:lang w:val="en-US"/>
        </w:rPr>
        <w:t>申请调解，调解无效时，可以按照约定向仲裁机构申请仲裁或者向人民法院提起诉讼。</w:t>
      </w:r>
    </w:p>
    <w:p>
      <w:pPr>
        <w:adjustRightInd w:val="0"/>
        <w:snapToGrid w:val="0"/>
        <w:spacing w:line="360" w:lineRule="auto"/>
        <w:ind w:left="440" w:leftChars="200" w:firstLine="720" w:firstLineChars="300"/>
        <w:jc w:val="both"/>
        <w:rPr>
          <w:sz w:val="24"/>
          <w:szCs w:val="24"/>
          <w:lang w:val="en-US"/>
        </w:rPr>
      </w:pPr>
    </w:p>
    <w:p>
      <w:pPr>
        <w:adjustRightInd w:val="0"/>
        <w:snapToGrid w:val="0"/>
        <w:spacing w:line="360" w:lineRule="auto"/>
        <w:ind w:firstLine="960" w:firstLineChars="400"/>
        <w:jc w:val="both"/>
        <w:rPr>
          <w:sz w:val="24"/>
          <w:szCs w:val="24"/>
        </w:rPr>
      </w:pPr>
      <w:r>
        <w:rPr>
          <w:rFonts w:hint="eastAsia"/>
          <w:sz w:val="24"/>
          <w:szCs w:val="24"/>
        </w:rPr>
        <w:t>监督管理部门：佛山市顺德区容桂街道财政办公室</w:t>
      </w:r>
    </w:p>
    <w:p>
      <w:pPr>
        <w:adjustRightInd w:val="0"/>
        <w:snapToGrid w:val="0"/>
        <w:spacing w:line="360" w:lineRule="auto"/>
        <w:ind w:firstLine="960" w:firstLineChars="400"/>
        <w:jc w:val="both"/>
        <w:rPr>
          <w:sz w:val="24"/>
          <w:szCs w:val="24"/>
          <w:lang w:val="en-US"/>
        </w:rPr>
      </w:pPr>
      <w:r>
        <w:rPr>
          <w:rFonts w:hint="eastAsia"/>
          <w:sz w:val="24"/>
          <w:szCs w:val="24"/>
          <w:lang w:val="en-US"/>
        </w:rPr>
        <w:t>联系人：何</w:t>
      </w:r>
      <w:r>
        <w:rPr>
          <w:rFonts w:hint="eastAsia"/>
          <w:sz w:val="24"/>
          <w:szCs w:val="24"/>
        </w:rPr>
        <w:t>小姐</w:t>
      </w:r>
    </w:p>
    <w:p>
      <w:pPr>
        <w:pStyle w:val="2"/>
        <w:ind w:left="0" w:firstLine="960" w:firstLineChars="400"/>
        <w:jc w:val="left"/>
        <w:rPr>
          <w:rFonts w:ascii="宋体" w:hAnsi="宋体" w:eastAsia="宋体" w:cs="宋体"/>
          <w:lang w:val="en-US"/>
        </w:rPr>
      </w:pPr>
      <w:r>
        <w:rPr>
          <w:rFonts w:hint="eastAsia" w:ascii="宋体" w:hAnsi="宋体" w:eastAsia="宋体" w:cs="宋体"/>
          <w:sz w:val="24"/>
          <w:szCs w:val="24"/>
        </w:rPr>
        <w:t>联系电话：</w:t>
      </w:r>
      <w:r>
        <w:rPr>
          <w:rFonts w:ascii="宋体" w:hAnsi="宋体" w:eastAsia="宋体" w:cs="宋体"/>
          <w:sz w:val="24"/>
          <w:szCs w:val="24"/>
        </w:rPr>
        <w:t>0757-28</w:t>
      </w:r>
      <w:r>
        <w:rPr>
          <w:rFonts w:hint="eastAsia" w:ascii="宋体" w:hAnsi="宋体" w:eastAsia="宋体" w:cs="宋体"/>
          <w:sz w:val="24"/>
          <w:szCs w:val="24"/>
          <w:lang w:val="en-US"/>
        </w:rPr>
        <w:t>981592</w:t>
      </w:r>
    </w:p>
    <w:p>
      <w:pPr>
        <w:pStyle w:val="2"/>
        <w:ind w:left="0"/>
        <w:rPr>
          <w:rFonts w:ascii="宋体" w:hAnsi="宋体" w:eastAsia="宋体" w:cs="宋体"/>
          <w:lang w:val="en-US"/>
        </w:rPr>
      </w:pPr>
    </w:p>
    <w:p>
      <w:pPr>
        <w:pStyle w:val="2"/>
        <w:ind w:left="0"/>
        <w:rPr>
          <w:rFonts w:ascii="宋体" w:hAnsi="宋体" w:eastAsia="宋体" w:cs="宋体"/>
          <w:lang w:val="en-US"/>
        </w:rPr>
      </w:pPr>
    </w:p>
    <w:p>
      <w:pPr>
        <w:pStyle w:val="2"/>
        <w:ind w:left="0"/>
        <w:jc w:val="left"/>
        <w:rPr>
          <w:rFonts w:ascii="宋体" w:hAnsi="宋体" w:eastAsia="宋体" w:cs="宋体"/>
          <w:lang w:val="en-US"/>
        </w:rPr>
      </w:pPr>
    </w:p>
    <w:p>
      <w:pPr>
        <w:adjustRightInd w:val="0"/>
        <w:snapToGrid w:val="0"/>
        <w:spacing w:line="360" w:lineRule="auto"/>
        <w:ind w:firstLine="440" w:firstLineChars="200"/>
        <w:jc w:val="right"/>
        <w:rPr>
          <w:sz w:val="24"/>
          <w:szCs w:val="24"/>
        </w:rPr>
      </w:pPr>
      <w:r>
        <w:rPr>
          <w:rFonts w:hint="eastAsia"/>
          <w:lang w:val="en-US"/>
        </w:rPr>
        <w:t xml:space="preserve"> </w:t>
      </w:r>
      <w:r>
        <w:rPr>
          <w:lang w:val="en-US"/>
        </w:rPr>
        <w:t xml:space="preserve">              </w:t>
      </w:r>
      <w:r>
        <w:rPr>
          <w:rFonts w:hint="eastAsia"/>
          <w:sz w:val="24"/>
          <w:szCs w:val="24"/>
          <w:lang w:val="en-US"/>
        </w:rPr>
        <w:t>出租人：</w:t>
      </w:r>
      <w:r>
        <w:rPr>
          <w:rFonts w:hint="eastAsia"/>
          <w:sz w:val="24"/>
          <w:szCs w:val="24"/>
        </w:rPr>
        <w:t>佛山市顺德区容桂时光文旅产业有限公司</w:t>
      </w:r>
    </w:p>
    <w:p>
      <w:pPr>
        <w:adjustRightInd w:val="0"/>
        <w:snapToGrid w:val="0"/>
        <w:spacing w:line="360" w:lineRule="auto"/>
        <w:ind w:firstLine="480" w:firstLineChars="200"/>
        <w:jc w:val="right"/>
        <w:rPr>
          <w:sz w:val="24"/>
          <w:szCs w:val="24"/>
        </w:rPr>
      </w:pPr>
      <w:r>
        <w:rPr>
          <w:rFonts w:hint="eastAsia"/>
          <w:sz w:val="24"/>
          <w:szCs w:val="24"/>
          <w:lang w:val="en-US"/>
        </w:rPr>
        <w:t>交易代理机构：佛山市顺德拍卖行有限公司</w:t>
      </w:r>
    </w:p>
    <w:p>
      <w:pPr>
        <w:adjustRightInd w:val="0"/>
        <w:snapToGrid w:val="0"/>
        <w:spacing w:line="360" w:lineRule="auto"/>
        <w:ind w:right="480" w:firstLine="480" w:firstLineChars="200"/>
        <w:jc w:val="right"/>
        <w:rPr>
          <w:lang w:val="en-US"/>
        </w:rPr>
      </w:pPr>
      <w:r>
        <w:rPr>
          <w:rFonts w:hint="eastAsia"/>
          <w:sz w:val="24"/>
          <w:szCs w:val="24"/>
          <w:lang w:val="en-US"/>
        </w:rPr>
        <w:t xml:space="preserve">  2023</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20</w:t>
      </w:r>
      <w:r>
        <w:rPr>
          <w:rFonts w:hint="eastAsia"/>
          <w:sz w:val="24"/>
          <w:szCs w:val="24"/>
          <w:lang w:val="en-US"/>
        </w:rPr>
        <w:t>日</w:t>
      </w:r>
    </w:p>
    <w:p>
      <w:pPr>
        <w:pStyle w:val="2"/>
        <w:ind w:left="0"/>
        <w:rPr>
          <w:rFonts w:ascii="宋体" w:hAnsi="宋体" w:eastAsia="宋体" w:cs="宋体"/>
          <w:lang w:val="en-US"/>
        </w:rPr>
      </w:pPr>
    </w:p>
    <w:p>
      <w:pPr>
        <w:pStyle w:val="2"/>
        <w:ind w:left="0"/>
        <w:rPr>
          <w:rFonts w:ascii="宋体" w:hAnsi="宋体" w:eastAsia="宋体" w:cs="宋体"/>
          <w:lang w:val="en-US"/>
        </w:rPr>
      </w:pPr>
    </w:p>
    <w:p>
      <w:pPr>
        <w:pStyle w:val="2"/>
        <w:ind w:left="0"/>
        <w:rPr>
          <w:rFonts w:ascii="宋体" w:hAnsi="宋体" w:eastAsia="宋体" w:cs="宋体"/>
          <w:lang w:val="en-US"/>
        </w:rPr>
      </w:pPr>
    </w:p>
    <w:p>
      <w:pPr>
        <w:pStyle w:val="2"/>
        <w:ind w:left="0"/>
        <w:rPr>
          <w:rFonts w:ascii="宋体" w:hAnsi="宋体" w:eastAsia="宋体" w:cs="宋体"/>
          <w:lang w:val="en-US"/>
        </w:rPr>
      </w:pPr>
    </w:p>
    <w:p>
      <w:pPr>
        <w:pStyle w:val="2"/>
        <w:ind w:left="0"/>
        <w:rPr>
          <w:rFonts w:ascii="宋体" w:hAnsi="宋体" w:eastAsia="宋体" w:cs="宋体"/>
          <w:lang w:val="en-US"/>
        </w:rPr>
      </w:pPr>
    </w:p>
    <w:p>
      <w:pPr>
        <w:pStyle w:val="2"/>
        <w:ind w:left="0"/>
        <w:rPr>
          <w:rFonts w:ascii="宋体" w:hAnsi="宋体" w:eastAsia="宋体" w:cs="宋体"/>
          <w:lang w:val="en-US"/>
        </w:rPr>
      </w:pPr>
    </w:p>
    <w:p>
      <w:pPr>
        <w:rPr>
          <w:lang w:val="en-US"/>
        </w:rPr>
      </w:pPr>
    </w:p>
    <w:p>
      <w:pPr>
        <w:rPr>
          <w:lang w:val="en-US"/>
        </w:rPr>
      </w:pPr>
    </w:p>
    <w:p>
      <w:pPr>
        <w:rPr>
          <w:lang w:val="en-US"/>
        </w:rPr>
      </w:pPr>
    </w:p>
    <w:p>
      <w:pPr>
        <w:pStyle w:val="2"/>
        <w:ind w:left="0"/>
        <w:rPr>
          <w:rFonts w:ascii="宋体" w:hAnsi="宋体" w:eastAsia="宋体" w:cs="宋体"/>
          <w:lang w:val="en-US"/>
        </w:rPr>
      </w:pPr>
    </w:p>
    <w:p>
      <w:pPr>
        <w:pStyle w:val="2"/>
        <w:ind w:left="0"/>
        <w:rPr>
          <w:rFonts w:ascii="宋体" w:hAnsi="宋体" w:eastAsia="宋体" w:cs="宋体"/>
          <w:lang w:val="en-US"/>
        </w:rPr>
      </w:pPr>
      <w:r>
        <w:rPr>
          <w:rFonts w:hint="eastAsia" w:ascii="宋体" w:hAnsi="宋体" w:eastAsia="宋体" w:cs="宋体"/>
          <w:lang w:val="en-US"/>
        </w:rPr>
        <w:t>注意：各标的具体说明请参考竞投公告中第一大点（租赁地块竞投基本情况）的第</w:t>
      </w:r>
      <w:r>
        <w:rPr>
          <w:rFonts w:ascii="宋体" w:hAnsi="宋体" w:eastAsia="宋体" w:cs="宋体"/>
          <w:lang w:val="en-US"/>
        </w:rPr>
        <w:t>12小点（竞得人主要权利义务）</w:t>
      </w:r>
    </w:p>
    <w:p>
      <w:pPr>
        <w:pStyle w:val="2"/>
        <w:ind w:left="0"/>
        <w:rPr>
          <w:rFonts w:ascii="宋体" w:hAnsi="宋体" w:eastAsia="宋体" w:cs="宋体"/>
          <w:lang w:val="en-US"/>
        </w:rPr>
      </w:pPr>
      <w:r>
        <w:rPr>
          <w:rFonts w:hint="eastAsia" w:ascii="宋体" w:hAnsi="宋体" w:eastAsia="宋体" w:cs="宋体"/>
          <w:lang w:val="en-US"/>
        </w:rPr>
        <w:t>附 表 1</w:t>
      </w:r>
      <w:bookmarkEnd w:id="140"/>
      <w:bookmarkEnd w:id="141"/>
      <w:bookmarkEnd w:id="142"/>
    </w:p>
    <w:p>
      <w:pPr>
        <w:rPr>
          <w:vanish/>
        </w:rPr>
      </w:pPr>
    </w:p>
    <w:tbl>
      <w:tblPr>
        <w:tblStyle w:val="21"/>
        <w:tblW w:w="10881" w:type="dxa"/>
        <w:tblInd w:w="-623" w:type="dxa"/>
        <w:tblLayout w:type="fixed"/>
        <w:tblCellMar>
          <w:top w:w="0" w:type="dxa"/>
          <w:left w:w="108" w:type="dxa"/>
          <w:bottom w:w="0" w:type="dxa"/>
          <w:right w:w="108" w:type="dxa"/>
        </w:tblCellMar>
      </w:tblPr>
      <w:tblGrid>
        <w:gridCol w:w="534"/>
        <w:gridCol w:w="1156"/>
        <w:gridCol w:w="5385"/>
        <w:gridCol w:w="1080"/>
        <w:gridCol w:w="1425"/>
        <w:gridCol w:w="1301"/>
      </w:tblGrid>
      <w:tr>
        <w:tblPrEx>
          <w:tblCellMar>
            <w:top w:w="0" w:type="dxa"/>
            <w:left w:w="108" w:type="dxa"/>
            <w:bottom w:w="0" w:type="dxa"/>
            <w:right w:w="108" w:type="dxa"/>
          </w:tblCellMar>
        </w:tblPrEx>
        <w:trPr>
          <w:trHeight w:val="810"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 w:val="24"/>
              </w:rPr>
            </w:pPr>
            <w:r>
              <w:rPr>
                <w:rFonts w:hint="eastAsia"/>
                <w:bCs/>
                <w:sz w:val="24"/>
              </w:rPr>
              <w:t>序号</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pPr>
            <w:r>
              <w:rPr>
                <w:rFonts w:hint="eastAsia"/>
              </w:rPr>
              <w:t>地址(简要说明、租赁期、均无证）</w:t>
            </w:r>
          </w:p>
        </w:tc>
        <w:tc>
          <w:tcPr>
            <w:tcW w:w="53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pPr>
            <w:r>
              <w:rPr>
                <w:rFonts w:hint="eastAsia"/>
              </w:rPr>
              <w:t>出租用途</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pPr>
            <w:r>
              <w:rPr>
                <w:rFonts w:hint="eastAsia"/>
              </w:rPr>
              <w:t>出租面积约（㎡）</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保证金（元）</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底价(元/月)</w:t>
            </w:r>
          </w:p>
        </w:tc>
      </w:tr>
      <w:tr>
        <w:tblPrEx>
          <w:tblCellMar>
            <w:top w:w="0" w:type="dxa"/>
            <w:left w:w="108" w:type="dxa"/>
            <w:bottom w:w="0" w:type="dxa"/>
            <w:right w:w="108" w:type="dxa"/>
          </w:tblCellMar>
        </w:tblPrEx>
        <w:trPr>
          <w:trHeight w:val="1026"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rPr>
            </w:pPr>
            <w:r>
              <w:rPr>
                <w:rFonts w:hint="eastAsia"/>
                <w:bCs/>
                <w:lang w:val="en-US"/>
              </w:rPr>
              <w:t>1</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imes New Roman" w:hAnsi="Times New Roman" w:cs="Times New Roman"/>
                <w:kern w:val="2"/>
                <w:sz w:val="24"/>
                <w:szCs w:val="20"/>
                <w:lang w:val="en-US" w:bidi="ar-SA"/>
              </w:rPr>
              <w:t xml:space="preserve"> 容桂街道小黄圃社区眉蕉河沿岸、科龙职中以南地块一</w:t>
            </w:r>
          </w:p>
        </w:tc>
        <w:tc>
          <w:tcPr>
            <w:tcW w:w="53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微软雅黑" w:hAnsi="微软雅黑" w:eastAsia="微软雅黑" w:cs="微软雅黑"/>
                <w:color w:val="333333"/>
                <w:spacing w:val="8"/>
                <w:sz w:val="18"/>
                <w:szCs w:val="18"/>
                <w:shd w:val="clear" w:color="auto" w:fill="FFFFFF"/>
                <w:lang w:val="en-US"/>
              </w:rPr>
              <w:t>该项目主要用作国画、粤剧文化展示及弘扬美食文化展示、耕地种植、开放性公园，其中耕地保有量范围1320.73平方米仅限于耕地种植；用于美食文化展示的总面积不超过200平方米。承租方经营使用需符合相关行业要求，且须获相关职能部门审批通过及办理相关证照；承租方需引进获得省级或以上专业资格证书的艺术家进驻开展文化艺术类服务，所引驻的艺术家及艺术项目的相关资料需提交给</w:t>
            </w:r>
            <w:r>
              <w:rPr>
                <w:rFonts w:hint="eastAsia" w:ascii="微软雅黑" w:hAnsi="微软雅黑" w:eastAsia="微软雅黑" w:cs="微软雅黑"/>
                <w:color w:val="333333"/>
                <w:spacing w:val="8"/>
                <w:sz w:val="18"/>
                <w:szCs w:val="18"/>
                <w:shd w:val="clear" w:color="auto" w:fill="FFFFFF"/>
                <w:lang w:val="en-US" w:eastAsia="zh-CN"/>
              </w:rPr>
              <w:t>出租方</w:t>
            </w:r>
            <w:r>
              <w:rPr>
                <w:rFonts w:hint="eastAsia" w:ascii="微软雅黑" w:hAnsi="微软雅黑" w:eastAsia="微软雅黑" w:cs="微软雅黑"/>
                <w:color w:val="333333"/>
                <w:spacing w:val="8"/>
                <w:sz w:val="18"/>
                <w:szCs w:val="18"/>
                <w:shd w:val="clear" w:color="auto" w:fill="FFFFFF"/>
                <w:lang w:val="en-US"/>
              </w:rPr>
              <w:t>备案，其中首次引入需满足以下要求：承租方需至少引进一名国家级画家（国家一级美术师）进驻，且至少引进一名著名粤剧表演艺术家（国家一级演员及中国戏剧梅花奖得主）进驻，引进符合上述条件的艺术家进驻时间不能少于5年，若原引进的艺术家在约定时间内提前退出的，则需补充引入同等级别的艺术家进驻，或其他经出租方书面同意的艺术项目。承租方需在本合同签订之日起90日内将所引驻的艺术家及艺术项目的相关资料提交给</w:t>
            </w:r>
            <w:r>
              <w:rPr>
                <w:rFonts w:hint="eastAsia" w:ascii="微软雅黑" w:hAnsi="微软雅黑" w:eastAsia="微软雅黑" w:cs="微软雅黑"/>
                <w:color w:val="333333"/>
                <w:spacing w:val="8"/>
                <w:sz w:val="18"/>
                <w:szCs w:val="18"/>
                <w:shd w:val="clear" w:color="auto" w:fill="FFFFFF"/>
                <w:lang w:val="en-US" w:eastAsia="zh-CN"/>
              </w:rPr>
              <w:t>出租方</w:t>
            </w:r>
            <w:r>
              <w:rPr>
                <w:rFonts w:hint="eastAsia" w:ascii="微软雅黑" w:hAnsi="微软雅黑" w:eastAsia="微软雅黑" w:cs="微软雅黑"/>
                <w:color w:val="333333"/>
                <w:spacing w:val="8"/>
                <w:sz w:val="18"/>
                <w:szCs w:val="18"/>
                <w:shd w:val="clear" w:color="auto" w:fill="FFFFFF"/>
                <w:lang w:val="en-US"/>
              </w:rPr>
              <w:t>备案。备案资料包括但不限于：艺术家签约进驻协议文本（需艺术家本人签字）、签约艺术家介绍、签约项目介绍（说明合作内容、项目性质、项目经费情况、项目合作期限和艺术家进驻工作时间等；在租赁范围内作为公益用途的场所，承租方必须免费对外开放，且承租方需每季度至少开展1场公益性活动（包括但不限于公益性展览展示、公益性培训等相关活动），全年累计组织开展公益性活动不少于5场，其中公益性培训活动全年累计不少于100人次参与。开展公益活动的佐证材料（包括但不限于活动方案、现场图片、签到表、作品成果等），承租方需于每年度结束后15个工作日内，将佐证材料报</w:t>
            </w:r>
            <w:r>
              <w:rPr>
                <w:rFonts w:hint="eastAsia" w:ascii="微软雅黑" w:hAnsi="微软雅黑" w:eastAsia="微软雅黑" w:cs="微软雅黑"/>
                <w:color w:val="333333"/>
                <w:spacing w:val="8"/>
                <w:sz w:val="18"/>
                <w:szCs w:val="18"/>
                <w:shd w:val="clear" w:color="auto" w:fill="FFFFFF"/>
                <w:lang w:val="en-US" w:eastAsia="zh-CN"/>
              </w:rPr>
              <w:t>出租方</w:t>
            </w:r>
            <w:r>
              <w:rPr>
                <w:rFonts w:hint="eastAsia" w:ascii="微软雅黑" w:hAnsi="微软雅黑" w:eastAsia="微软雅黑" w:cs="微软雅黑"/>
                <w:color w:val="333333"/>
                <w:spacing w:val="8"/>
                <w:sz w:val="18"/>
                <w:szCs w:val="18"/>
                <w:shd w:val="clear" w:color="auto" w:fill="FFFFFF"/>
                <w:lang w:val="en-US"/>
              </w:rPr>
              <w:t>备案。</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lang w:val="en-US"/>
              </w:rPr>
            </w:pPr>
            <w:r>
              <w:rPr>
                <w:rFonts w:hint="eastAsia"/>
                <w:lang w:val="en-US"/>
              </w:rPr>
              <w:t>租赁地块总用地面积：10074.98㎡，其中建筑总面积987.41平方米，绿地及空地面积8114.71平方米，耕地保有量范围1320.73平方米。</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lang w:val="en-US"/>
              </w:rPr>
            </w:pPr>
            <w:r>
              <w:rPr>
                <w:rFonts w:hint="eastAsia"/>
                <w:lang w:val="en-US"/>
              </w:rPr>
              <w:t>510232.65</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lang w:val="en-US"/>
              </w:rPr>
            </w:pPr>
            <w:r>
              <w:rPr>
                <w:rFonts w:hint="eastAsia"/>
                <w:lang w:val="en-US"/>
              </w:rPr>
              <w:t xml:space="preserve"> 16235.00</w:t>
            </w:r>
          </w:p>
        </w:tc>
      </w:tr>
      <w:bookmarkEnd w:id="33"/>
    </w:tbl>
    <w:p>
      <w:pPr>
        <w:adjustRightInd w:val="0"/>
        <w:snapToGrid w:val="0"/>
        <w:spacing w:line="360" w:lineRule="auto"/>
        <w:jc w:val="both"/>
        <w:rPr>
          <w:sz w:val="24"/>
          <w:szCs w:val="24"/>
          <w:lang w:val="en-US"/>
        </w:rPr>
        <w:sectPr>
          <w:pgSz w:w="11910" w:h="16840"/>
          <w:pgMar w:top="1134" w:right="1134" w:bottom="1134" w:left="1134" w:header="0" w:footer="816" w:gutter="0"/>
          <w:cols w:space="720" w:num="1"/>
        </w:sectPr>
      </w:pPr>
    </w:p>
    <w:p>
      <w:pPr>
        <w:numPr>
          <w:ilvl w:val="0"/>
          <w:numId w:val="3"/>
        </w:numPr>
        <w:adjustRightInd w:val="0"/>
        <w:snapToGrid w:val="0"/>
        <w:spacing w:line="360" w:lineRule="auto"/>
        <w:jc w:val="center"/>
        <w:outlineLvl w:val="0"/>
        <w:rPr>
          <w:sz w:val="24"/>
          <w:szCs w:val="56"/>
          <w:lang w:val="en-US"/>
        </w:rPr>
      </w:pPr>
      <w:bookmarkStart w:id="143" w:name="二、标的物宗地平面图"/>
      <w:bookmarkEnd w:id="143"/>
      <w:bookmarkStart w:id="144" w:name="_Toc6971"/>
      <w:bookmarkStart w:id="145" w:name="_Toc8219"/>
      <w:bookmarkStart w:id="146" w:name="_Toc26643"/>
      <w:bookmarkStart w:id="147" w:name="_Toc10622_WPSOffice_Level1"/>
      <w:bookmarkStart w:id="148" w:name="_Toc26528_WPSOffice_Level1"/>
      <w:bookmarkStart w:id="149" w:name="_Toc23515_WPSOffice_Level1"/>
      <w:bookmarkStart w:id="150" w:name="_Toc25486_WPSOffice_Level1"/>
      <w:bookmarkStart w:id="151" w:name="_Toc25656119"/>
      <w:bookmarkStart w:id="152" w:name="_Toc13101"/>
      <w:bookmarkStart w:id="153" w:name="_Toc18224"/>
      <w:bookmarkStart w:id="154" w:name="_Toc14550"/>
      <w:bookmarkStart w:id="155" w:name="_Toc10818_WPSOffice_Level1"/>
      <w:bookmarkStart w:id="156" w:name="_Toc1922"/>
      <w:r>
        <w:rPr>
          <w:rFonts w:hint="eastAsia"/>
          <w:b/>
          <w:bCs/>
          <w:sz w:val="32"/>
          <w:szCs w:val="32"/>
          <w:lang w:val="en-US"/>
        </w:rPr>
        <w:t>标的物宗地平面图</w:t>
      </w:r>
      <w:bookmarkEnd w:id="144"/>
      <w:bookmarkEnd w:id="145"/>
      <w:bookmarkEnd w:id="146"/>
      <w:bookmarkEnd w:id="147"/>
      <w:bookmarkEnd w:id="148"/>
      <w:bookmarkEnd w:id="149"/>
      <w:bookmarkEnd w:id="150"/>
      <w:bookmarkEnd w:id="151"/>
      <w:bookmarkEnd w:id="152"/>
      <w:bookmarkEnd w:id="153"/>
      <w:bookmarkEnd w:id="154"/>
      <w:bookmarkEnd w:id="155"/>
      <w:bookmarkEnd w:id="156"/>
      <w:r>
        <w:rPr>
          <w:rFonts w:hint="eastAsia"/>
          <w:b/>
          <w:bCs/>
          <w:sz w:val="32"/>
          <w:szCs w:val="32"/>
          <w:lang w:val="en-US"/>
        </w:rPr>
        <w:t>（扫描二维码）</w:t>
      </w:r>
    </w:p>
    <w:p>
      <w:pPr>
        <w:adjustRightInd w:val="0"/>
        <w:snapToGrid w:val="0"/>
        <w:spacing w:line="360" w:lineRule="auto"/>
        <w:ind w:firstLine="2240" w:firstLineChars="700"/>
        <w:rPr>
          <w:sz w:val="32"/>
          <w:szCs w:val="32"/>
          <w:lang w:val="en-US"/>
        </w:rPr>
      </w:pPr>
    </w:p>
    <w:bookmarkEnd w:id="34"/>
    <w:p>
      <w:pPr>
        <w:adjustRightInd w:val="0"/>
        <w:snapToGrid w:val="0"/>
        <w:spacing w:line="360" w:lineRule="auto"/>
        <w:jc w:val="center"/>
        <w:rPr>
          <w:sz w:val="32"/>
          <w:szCs w:val="32"/>
          <w:lang w:val="en-US"/>
        </w:rPr>
        <w:sectPr>
          <w:pgSz w:w="11910" w:h="16840"/>
          <w:pgMar w:top="1400" w:right="560" w:bottom="1000" w:left="540" w:header="0" w:footer="817" w:gutter="0"/>
          <w:cols w:space="720" w:num="1"/>
        </w:sectPr>
      </w:pPr>
      <w:r>
        <w:rPr>
          <w:sz w:val="32"/>
          <w:szCs w:val="32"/>
          <w:lang w:val="en-US"/>
        </w:rPr>
        <w:drawing>
          <wp:inline distT="0" distB="0" distL="0" distR="0">
            <wp:extent cx="3809365" cy="3809365"/>
            <wp:effectExtent l="0" t="0" r="635" b="635"/>
            <wp:docPr id="17927192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19269"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809524" cy="3809524"/>
                    </a:xfrm>
                    <a:prstGeom prst="rect">
                      <a:avLst/>
                    </a:prstGeom>
                  </pic:spPr>
                </pic:pic>
              </a:graphicData>
            </a:graphic>
          </wp:inline>
        </w:drawing>
      </w:r>
    </w:p>
    <w:p>
      <w:pPr>
        <w:adjustRightInd w:val="0"/>
        <w:snapToGrid w:val="0"/>
        <w:spacing w:line="360" w:lineRule="auto"/>
        <w:jc w:val="center"/>
        <w:outlineLvl w:val="0"/>
        <w:rPr>
          <w:b/>
          <w:bCs/>
          <w:sz w:val="32"/>
          <w:szCs w:val="32"/>
        </w:rPr>
      </w:pPr>
      <w:bookmarkStart w:id="157" w:name="_Toc7210"/>
      <w:bookmarkStart w:id="158" w:name="_Toc9353"/>
      <w:bookmarkStart w:id="159" w:name="_Toc12097_WPSOffice_Level1"/>
      <w:bookmarkStart w:id="160" w:name="_Toc7107"/>
      <w:bookmarkStart w:id="161" w:name="_Toc26984"/>
      <w:bookmarkStart w:id="162" w:name="_Toc17597_WPSOffice_Level1"/>
      <w:bookmarkStart w:id="163" w:name="_Toc12308_WPSOffice_Level1"/>
      <w:bookmarkStart w:id="164" w:name="_Toc11493"/>
      <w:bookmarkStart w:id="165" w:name="_Toc13432"/>
      <w:bookmarkStart w:id="166" w:name="_Toc16222_WPSOffice_Level1"/>
      <w:bookmarkStart w:id="167" w:name="_Toc15785"/>
      <w:bookmarkStart w:id="168" w:name="_Toc25656120"/>
      <w:bookmarkStart w:id="169" w:name="_Toc21260_WPSOffice_Level1"/>
      <w:r>
        <w:rPr>
          <w:rFonts w:hint="eastAsia"/>
          <w:b/>
          <w:bCs/>
          <w:sz w:val="32"/>
          <w:szCs w:val="32"/>
          <w:lang w:val="en-US"/>
        </w:rPr>
        <w:t xml:space="preserve">第三部分 </w:t>
      </w:r>
      <w:r>
        <w:rPr>
          <w:rFonts w:hint="eastAsia"/>
          <w:b/>
          <w:bCs/>
          <w:sz w:val="32"/>
          <w:szCs w:val="32"/>
        </w:rPr>
        <w:t>竞投须知</w:t>
      </w:r>
      <w:bookmarkEnd w:id="157"/>
      <w:bookmarkEnd w:id="158"/>
      <w:bookmarkEnd w:id="159"/>
      <w:bookmarkEnd w:id="160"/>
      <w:bookmarkEnd w:id="161"/>
      <w:bookmarkEnd w:id="162"/>
      <w:bookmarkEnd w:id="163"/>
      <w:bookmarkEnd w:id="164"/>
      <w:bookmarkEnd w:id="165"/>
      <w:bookmarkEnd w:id="166"/>
      <w:bookmarkEnd w:id="167"/>
      <w:bookmarkEnd w:id="168"/>
      <w:bookmarkEnd w:id="169"/>
    </w:p>
    <w:p>
      <w:pPr>
        <w:pStyle w:val="3"/>
        <w:adjustRightInd w:val="0"/>
        <w:snapToGrid w:val="0"/>
        <w:spacing w:line="360" w:lineRule="auto"/>
        <w:ind w:left="0" w:right="1"/>
        <w:rPr>
          <w:rFonts w:ascii="宋体" w:hAnsi="宋体" w:eastAsia="宋体" w:cs="宋体"/>
          <w:b w:val="0"/>
          <w:bCs w:val="0"/>
          <w:sz w:val="24"/>
          <w:szCs w:val="24"/>
        </w:rPr>
      </w:pPr>
      <w:bookmarkStart w:id="170" w:name="竞投人资格"/>
      <w:bookmarkEnd w:id="170"/>
      <w:bookmarkStart w:id="171" w:name="_Toc32270"/>
      <w:bookmarkStart w:id="172" w:name="_Toc6560_WPSOffice_Level2"/>
      <w:bookmarkStart w:id="173" w:name="_Toc25656121"/>
      <w:bookmarkStart w:id="174" w:name="_Toc19291_WPSOffice_Level1"/>
      <w:bookmarkStart w:id="175" w:name="_Toc12641"/>
      <w:bookmarkStart w:id="176" w:name="_Toc25140"/>
      <w:bookmarkStart w:id="177" w:name="_Toc15182_WPSOffice_Level2"/>
      <w:bookmarkStart w:id="178" w:name="_Toc20753"/>
      <w:bookmarkStart w:id="179" w:name="_Toc24220"/>
      <w:bookmarkStart w:id="180" w:name="_Toc10090"/>
      <w:bookmarkStart w:id="181" w:name="_Toc5117"/>
      <w:bookmarkStart w:id="182" w:name="_Toc16307"/>
      <w:bookmarkStart w:id="183" w:name="_Toc25300_WPSOffice_Level2"/>
      <w:bookmarkStart w:id="184" w:name="_Toc19447_WPSOffice_Level2"/>
      <w:r>
        <w:rPr>
          <w:rFonts w:hint="eastAsia" w:ascii="宋体" w:hAnsi="宋体" w:eastAsia="宋体" w:cs="宋体"/>
          <w:b w:val="0"/>
          <w:bCs w:val="0"/>
          <w:lang w:val="en-US"/>
        </w:rPr>
        <w:t>一、竞投人资格</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numPr>
          <w:ilvl w:val="255"/>
          <w:numId w:val="0"/>
        </w:numPr>
        <w:autoSpaceDE/>
        <w:autoSpaceDN/>
        <w:ind w:firstLine="512" w:firstLineChars="200"/>
        <w:jc w:val="both"/>
        <w:rPr>
          <w:rFonts w:ascii="微软雅黑" w:hAnsi="微软雅黑" w:eastAsia="微软雅黑" w:cs="微软雅黑"/>
          <w:color w:val="333333"/>
          <w:spacing w:val="8"/>
          <w:sz w:val="24"/>
          <w:szCs w:val="24"/>
          <w:shd w:val="clear" w:color="auto" w:fill="FFFFFF"/>
          <w:lang w:bidi="ar"/>
        </w:rPr>
      </w:pPr>
      <w:bookmarkStart w:id="185" w:name="竞投登记手续"/>
      <w:bookmarkEnd w:id="185"/>
      <w:bookmarkStart w:id="186" w:name="_Toc7650_WPSOffice_Level2"/>
      <w:bookmarkStart w:id="187" w:name="_Toc25656122"/>
      <w:bookmarkStart w:id="188" w:name="_Toc3895_WPSOffice_Level1"/>
      <w:bookmarkStart w:id="189" w:name="_Toc20037_WPSOffice_Level2"/>
      <w:bookmarkStart w:id="190" w:name="_Toc3399_WPSOffice_Level2"/>
      <w:bookmarkStart w:id="191" w:name="_Toc15560_WPSOffice_Level2"/>
      <w:bookmarkStart w:id="192" w:name="_Toc4596"/>
      <w:bookmarkStart w:id="193" w:name="_Toc17380"/>
      <w:bookmarkStart w:id="194" w:name="_Toc4171"/>
      <w:bookmarkStart w:id="195" w:name="_Toc13639"/>
      <w:bookmarkStart w:id="196" w:name="_Toc12149"/>
      <w:bookmarkStart w:id="197" w:name="_Toc15957"/>
      <w:bookmarkStart w:id="198" w:name="_Toc16436"/>
      <w:bookmarkStart w:id="199" w:name="_Toc13496"/>
      <w:r>
        <w:rPr>
          <w:rFonts w:hint="eastAsia" w:ascii="微软雅黑" w:hAnsi="微软雅黑" w:eastAsia="微软雅黑" w:cs="微软雅黑"/>
          <w:color w:val="333333"/>
          <w:spacing w:val="8"/>
          <w:sz w:val="24"/>
          <w:szCs w:val="24"/>
          <w:shd w:val="clear" w:color="auto" w:fill="FFFFFF"/>
          <w:lang w:bidi="ar"/>
        </w:rPr>
        <w:t>（一）竞投人必须是在中华人民共和国合法运作且具备有效营业执照的独立法人机构或具有民事责任能力的自然人。</w:t>
      </w:r>
    </w:p>
    <w:p>
      <w:pPr>
        <w:numPr>
          <w:ilvl w:val="255"/>
          <w:numId w:val="0"/>
        </w:numPr>
        <w:autoSpaceDE/>
        <w:autoSpaceDN/>
        <w:ind w:firstLine="512" w:firstLineChars="200"/>
        <w:jc w:val="both"/>
        <w:rPr>
          <w:rFonts w:ascii="微软雅黑" w:hAnsi="微软雅黑" w:eastAsia="微软雅黑" w:cs="微软雅黑"/>
          <w:color w:val="333333"/>
          <w:spacing w:val="8"/>
          <w:sz w:val="24"/>
          <w:szCs w:val="24"/>
          <w:shd w:val="clear" w:color="auto" w:fill="FFFFFF"/>
          <w:lang w:bidi="ar"/>
        </w:rPr>
      </w:pPr>
      <w:r>
        <w:rPr>
          <w:rFonts w:hint="eastAsia" w:ascii="微软雅黑" w:hAnsi="微软雅黑" w:eastAsia="微软雅黑" w:cs="微软雅黑"/>
          <w:color w:val="333333"/>
          <w:spacing w:val="8"/>
          <w:sz w:val="24"/>
          <w:szCs w:val="24"/>
          <w:shd w:val="clear" w:color="auto" w:fill="FFFFFF"/>
          <w:lang w:bidi="ar"/>
        </w:rPr>
        <w:t>（二）本项目不接受联合体竞价。</w:t>
      </w:r>
    </w:p>
    <w:p>
      <w:pPr>
        <w:numPr>
          <w:ilvl w:val="255"/>
          <w:numId w:val="0"/>
        </w:numPr>
        <w:autoSpaceDE/>
        <w:autoSpaceDN/>
        <w:ind w:firstLine="512" w:firstLineChars="200"/>
        <w:jc w:val="both"/>
        <w:rPr>
          <w:rFonts w:ascii="微软雅黑" w:hAnsi="微软雅黑" w:eastAsia="微软雅黑" w:cs="微软雅黑"/>
          <w:color w:val="333333"/>
          <w:spacing w:val="8"/>
          <w:sz w:val="24"/>
          <w:szCs w:val="24"/>
          <w:shd w:val="clear" w:color="auto" w:fill="FFFFFF"/>
          <w:lang w:bidi="ar"/>
        </w:rPr>
      </w:pPr>
      <w:r>
        <w:rPr>
          <w:rFonts w:hint="eastAsia" w:ascii="微软雅黑" w:hAnsi="微软雅黑" w:eastAsia="微软雅黑" w:cs="微软雅黑"/>
          <w:color w:val="333333"/>
          <w:spacing w:val="8"/>
          <w:sz w:val="24"/>
          <w:szCs w:val="24"/>
          <w:shd w:val="clear" w:color="auto" w:fill="FFFFFF"/>
          <w:lang w:bidi="ar"/>
        </w:rPr>
        <w:t>（三）信誉良好（无犯罪记录、无拖欠出租人包括但不限于租金、税项、费用等、无不良的竞投记录）。</w:t>
      </w:r>
    </w:p>
    <w:p>
      <w:pPr>
        <w:numPr>
          <w:ilvl w:val="255"/>
          <w:numId w:val="0"/>
        </w:numPr>
        <w:autoSpaceDE/>
        <w:autoSpaceDN/>
        <w:ind w:firstLine="512" w:firstLineChars="200"/>
        <w:jc w:val="both"/>
        <w:rPr>
          <w:rFonts w:ascii="微软雅黑" w:hAnsi="微软雅黑" w:eastAsia="微软雅黑" w:cs="微软雅黑"/>
          <w:color w:val="333333"/>
          <w:spacing w:val="8"/>
          <w:sz w:val="24"/>
          <w:szCs w:val="24"/>
          <w:shd w:val="clear" w:color="auto" w:fill="FFFFFF"/>
          <w:lang w:bidi="ar"/>
        </w:rPr>
      </w:pPr>
      <w:r>
        <w:rPr>
          <w:rFonts w:hint="eastAsia" w:ascii="微软雅黑" w:hAnsi="微软雅黑" w:eastAsia="微软雅黑" w:cs="微软雅黑"/>
          <w:color w:val="333333"/>
          <w:spacing w:val="8"/>
          <w:sz w:val="24"/>
          <w:szCs w:val="24"/>
          <w:shd w:val="clear" w:color="auto" w:fill="FFFFFF"/>
          <w:lang w:bidi="ar"/>
        </w:rPr>
        <w:t>（四）出租人禁止曾经违反竞投规定（包括但不限于悔拍、恶意竞价、围标串标等行为）、对出租人利益造成损害的意向竞投人参加竞投。</w:t>
      </w:r>
    </w:p>
    <w:p>
      <w:pPr>
        <w:numPr>
          <w:ilvl w:val="255"/>
          <w:numId w:val="0"/>
        </w:numPr>
        <w:autoSpaceDE/>
        <w:autoSpaceDN/>
        <w:ind w:firstLine="512" w:firstLineChars="200"/>
        <w:jc w:val="both"/>
        <w:rPr>
          <w:rFonts w:ascii="微软雅黑" w:hAnsi="微软雅黑" w:eastAsia="微软雅黑" w:cs="微软雅黑"/>
          <w:color w:val="333333"/>
          <w:spacing w:val="8"/>
          <w:sz w:val="24"/>
          <w:szCs w:val="24"/>
          <w:shd w:val="clear" w:color="auto" w:fill="FFFFFF"/>
          <w:lang w:bidi="ar"/>
        </w:rPr>
      </w:pPr>
      <w:r>
        <w:rPr>
          <w:rFonts w:hint="eastAsia" w:ascii="微软雅黑" w:hAnsi="微软雅黑" w:eastAsia="微软雅黑" w:cs="微软雅黑"/>
          <w:color w:val="333333"/>
          <w:spacing w:val="8"/>
          <w:sz w:val="24"/>
          <w:szCs w:val="24"/>
          <w:shd w:val="clear" w:color="auto" w:fill="FFFFFF"/>
          <w:lang w:bidi="ar"/>
        </w:rPr>
        <w:t>（五）对于曾经违反竞投会场纪律、扰乱竞投秩序的意向竞投人，拍卖人禁止其参加本次租赁权竞投。</w:t>
      </w:r>
    </w:p>
    <w:p>
      <w:pPr>
        <w:numPr>
          <w:ilvl w:val="255"/>
          <w:numId w:val="0"/>
        </w:numPr>
        <w:autoSpaceDE/>
        <w:autoSpaceDN/>
        <w:ind w:firstLine="512" w:firstLineChars="200"/>
        <w:jc w:val="both"/>
        <w:rPr>
          <w:rFonts w:ascii="微软雅黑" w:hAnsi="微软雅黑" w:eastAsia="微软雅黑" w:cs="微软雅黑"/>
          <w:color w:val="333333"/>
          <w:spacing w:val="8"/>
          <w:sz w:val="24"/>
          <w:szCs w:val="24"/>
          <w:shd w:val="clear" w:color="auto" w:fill="FFFFFF"/>
          <w:lang w:bidi="ar"/>
        </w:rPr>
      </w:pPr>
      <w:r>
        <w:rPr>
          <w:rFonts w:hint="eastAsia" w:ascii="微软雅黑" w:hAnsi="微软雅黑" w:eastAsia="微软雅黑" w:cs="微软雅黑"/>
          <w:color w:val="333333"/>
          <w:spacing w:val="8"/>
          <w:sz w:val="24"/>
          <w:szCs w:val="24"/>
          <w:shd w:val="clear" w:color="auto" w:fill="FFFFFF"/>
          <w:lang w:bidi="ar"/>
        </w:rPr>
        <w:t>（六）现场竞价，价高者成交。</w:t>
      </w:r>
    </w:p>
    <w:p>
      <w:pPr>
        <w:numPr>
          <w:ilvl w:val="255"/>
          <w:numId w:val="0"/>
        </w:numPr>
        <w:autoSpaceDE/>
        <w:autoSpaceDN/>
        <w:ind w:firstLine="512" w:firstLineChars="200"/>
        <w:jc w:val="both"/>
        <w:rPr>
          <w:rFonts w:ascii="微软雅黑" w:hAnsi="微软雅黑" w:eastAsia="微软雅黑" w:cs="微软雅黑"/>
          <w:color w:val="333333"/>
          <w:spacing w:val="8"/>
          <w:sz w:val="24"/>
          <w:szCs w:val="24"/>
          <w:shd w:val="clear" w:color="auto" w:fill="FFFFFF"/>
          <w:lang w:bidi="ar"/>
        </w:rPr>
      </w:pPr>
      <w:r>
        <w:rPr>
          <w:rFonts w:hint="eastAsia" w:ascii="微软雅黑" w:hAnsi="微软雅黑" w:eastAsia="微软雅黑" w:cs="微软雅黑"/>
          <w:color w:val="333333"/>
          <w:spacing w:val="8"/>
          <w:sz w:val="24"/>
          <w:szCs w:val="24"/>
          <w:shd w:val="clear" w:color="auto" w:fill="FFFFFF"/>
          <w:lang w:bidi="ar"/>
        </w:rPr>
        <w:t>（七）其他事项详见公开招租文件。</w:t>
      </w:r>
    </w:p>
    <w:p>
      <w:pPr>
        <w:numPr>
          <w:ilvl w:val="255"/>
          <w:numId w:val="0"/>
        </w:numPr>
        <w:autoSpaceDE/>
        <w:autoSpaceDN/>
        <w:ind w:firstLine="442" w:firstLineChars="200"/>
        <w:jc w:val="both"/>
        <w:rPr>
          <w:b/>
          <w:bCs/>
          <w:lang w:val="en-US"/>
        </w:rPr>
      </w:pPr>
      <w:r>
        <w:rPr>
          <w:rFonts w:hint="eastAsia"/>
          <w:b/>
          <w:bCs/>
          <w:lang w:val="en-US"/>
        </w:rPr>
        <w:t>二、竞投登记手续</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adjustRightInd w:val="0"/>
        <w:snapToGrid w:val="0"/>
        <w:spacing w:line="360" w:lineRule="auto"/>
        <w:ind w:firstLine="480" w:firstLineChars="200"/>
        <w:jc w:val="both"/>
        <w:rPr>
          <w:sz w:val="24"/>
          <w:szCs w:val="24"/>
        </w:rPr>
      </w:pPr>
      <w:r>
        <w:rPr>
          <w:rFonts w:hint="eastAsia"/>
          <w:sz w:val="24"/>
          <w:szCs w:val="24"/>
        </w:rPr>
        <w:t>一、已缴交竞投保证金的竞投人必须依照公告规定的时间内到佛山市顺德区容桂街道桂新西路22号容桂公共资源交易中心交易室递交竞投资料及登记手续，办理竞投登记手续时必须提交如下资料：</w:t>
      </w:r>
    </w:p>
    <w:p>
      <w:pPr>
        <w:adjustRightInd w:val="0"/>
        <w:snapToGrid w:val="0"/>
        <w:spacing w:line="360" w:lineRule="auto"/>
        <w:ind w:firstLine="480" w:firstLineChars="200"/>
        <w:jc w:val="both"/>
        <w:rPr>
          <w:sz w:val="24"/>
          <w:szCs w:val="24"/>
        </w:rPr>
      </w:pPr>
      <w:r>
        <w:rPr>
          <w:rFonts w:hint="eastAsia"/>
          <w:sz w:val="24"/>
          <w:szCs w:val="24"/>
        </w:rPr>
        <w:t>（一）竞投人身份证明文件原件</w:t>
      </w:r>
    </w:p>
    <w:p>
      <w:pPr>
        <w:adjustRightInd w:val="0"/>
        <w:snapToGrid w:val="0"/>
        <w:spacing w:line="360" w:lineRule="auto"/>
        <w:ind w:firstLine="480" w:firstLineChars="200"/>
        <w:jc w:val="both"/>
        <w:rPr>
          <w:sz w:val="24"/>
          <w:szCs w:val="24"/>
        </w:rPr>
      </w:pPr>
      <w:r>
        <w:rPr>
          <w:rFonts w:hint="eastAsia"/>
          <w:sz w:val="24"/>
          <w:szCs w:val="24"/>
        </w:rPr>
        <w:t>1.</w:t>
      </w:r>
      <w:r>
        <w:rPr>
          <w:rFonts w:hint="eastAsia"/>
          <w:sz w:val="24"/>
          <w:szCs w:val="24"/>
          <w:lang w:val="en-US"/>
        </w:rPr>
        <w:t>公司报名：在有效期内的</w:t>
      </w:r>
      <w:r>
        <w:rPr>
          <w:rFonts w:hint="eastAsia"/>
          <w:sz w:val="24"/>
          <w:szCs w:val="24"/>
        </w:rPr>
        <w:t>营业执照副本</w:t>
      </w:r>
      <w:r>
        <w:rPr>
          <w:rFonts w:hint="eastAsia"/>
          <w:sz w:val="24"/>
          <w:szCs w:val="24"/>
          <w:lang w:val="en-US"/>
        </w:rPr>
        <w:t>原件</w:t>
      </w:r>
      <w:r>
        <w:rPr>
          <w:rFonts w:hint="eastAsia"/>
          <w:sz w:val="24"/>
          <w:szCs w:val="24"/>
        </w:rPr>
        <w:t>、法定代表人身份证（原件</w:t>
      </w:r>
      <w:r>
        <w:rPr>
          <w:rFonts w:hint="eastAsia"/>
          <w:sz w:val="24"/>
          <w:szCs w:val="24"/>
          <w:lang w:val="en-US"/>
        </w:rPr>
        <w:t>)或</w:t>
      </w:r>
      <w:r>
        <w:rPr>
          <w:rFonts w:hint="eastAsia"/>
          <w:sz w:val="24"/>
          <w:szCs w:val="24"/>
        </w:rPr>
        <w:t>法定代表人授权代理身份证（原件）、</w:t>
      </w:r>
      <w:r>
        <w:rPr>
          <w:rFonts w:hint="eastAsia"/>
          <w:sz w:val="24"/>
          <w:szCs w:val="24"/>
          <w:lang w:val="en-US"/>
        </w:rPr>
        <w:t>授权委托书</w:t>
      </w:r>
      <w:r>
        <w:rPr>
          <w:rFonts w:hint="eastAsia"/>
          <w:sz w:val="24"/>
          <w:szCs w:val="24"/>
        </w:rPr>
        <w:t>。</w:t>
      </w:r>
    </w:p>
    <w:p>
      <w:pPr>
        <w:adjustRightInd w:val="0"/>
        <w:snapToGrid w:val="0"/>
        <w:spacing w:line="360" w:lineRule="auto"/>
        <w:ind w:firstLine="480" w:firstLineChars="200"/>
        <w:jc w:val="both"/>
        <w:rPr>
          <w:sz w:val="24"/>
          <w:szCs w:val="24"/>
          <w:lang w:val="en-US"/>
        </w:rPr>
      </w:pPr>
      <w:r>
        <w:rPr>
          <w:rFonts w:hint="eastAsia"/>
          <w:sz w:val="24"/>
          <w:szCs w:val="24"/>
          <w:lang w:val="en-US"/>
        </w:rPr>
        <w:t>2.个人报名：在有效期内的身份证原件。</w:t>
      </w:r>
    </w:p>
    <w:p>
      <w:pPr>
        <w:adjustRightInd w:val="0"/>
        <w:snapToGrid w:val="0"/>
        <w:spacing w:line="360" w:lineRule="auto"/>
        <w:ind w:left="440" w:leftChars="200"/>
        <w:jc w:val="both"/>
        <w:rPr>
          <w:sz w:val="24"/>
          <w:szCs w:val="24"/>
        </w:rPr>
      </w:pPr>
      <w:r>
        <w:rPr>
          <w:rFonts w:hint="eastAsia"/>
          <w:sz w:val="24"/>
          <w:szCs w:val="24"/>
        </w:rPr>
        <w:t>（二）保证金进账单（原件及复印件）</w:t>
      </w:r>
      <w:r>
        <w:rPr>
          <w:rFonts w:hint="eastAsia"/>
          <w:sz w:val="24"/>
          <w:szCs w:val="24"/>
          <w:lang w:val="en-US"/>
        </w:rPr>
        <w:t>及</w:t>
      </w:r>
      <w:r>
        <w:rPr>
          <w:rFonts w:hint="eastAsia"/>
          <w:sz w:val="24"/>
          <w:szCs w:val="24"/>
        </w:rPr>
        <w:t>《缴交保证金声明》原件。</w:t>
      </w:r>
    </w:p>
    <w:p>
      <w:pPr>
        <w:adjustRightInd w:val="0"/>
        <w:snapToGrid w:val="0"/>
        <w:spacing w:line="360" w:lineRule="auto"/>
        <w:ind w:firstLine="480" w:firstLineChars="200"/>
        <w:jc w:val="both"/>
        <w:rPr>
          <w:sz w:val="24"/>
          <w:szCs w:val="24"/>
          <w:lang w:val="en-US"/>
        </w:rPr>
      </w:pPr>
      <w:r>
        <w:rPr>
          <w:rFonts w:hint="eastAsia"/>
          <w:sz w:val="24"/>
          <w:szCs w:val="24"/>
          <w:lang w:val="en-US"/>
        </w:rPr>
        <w:t>注：1、以公司名义缴交竞投保证金的，《缴交保证金声明》须盖付款人公章；以个人名义缴交竞投保证金的，《缴交保证金声明》须盖报名人手指模。2、每个实名进账账号只能对应一位竞投人，否则视为围标串标。</w:t>
      </w:r>
    </w:p>
    <w:p>
      <w:pPr>
        <w:adjustRightInd w:val="0"/>
        <w:snapToGrid w:val="0"/>
        <w:spacing w:line="360" w:lineRule="auto"/>
        <w:ind w:firstLine="480" w:firstLineChars="200"/>
        <w:jc w:val="both"/>
        <w:rPr>
          <w:sz w:val="24"/>
          <w:szCs w:val="24"/>
        </w:rPr>
      </w:pPr>
      <w:r>
        <w:rPr>
          <w:rFonts w:hint="eastAsia"/>
          <w:sz w:val="24"/>
          <w:szCs w:val="24"/>
        </w:rPr>
        <w:t>（三）竞投申请书原件（证书原件）；</w:t>
      </w:r>
    </w:p>
    <w:p>
      <w:pPr>
        <w:adjustRightInd w:val="0"/>
        <w:snapToGrid w:val="0"/>
        <w:spacing w:line="360" w:lineRule="auto"/>
        <w:ind w:firstLine="480" w:firstLineChars="200"/>
        <w:jc w:val="both"/>
        <w:rPr>
          <w:sz w:val="24"/>
          <w:szCs w:val="24"/>
        </w:rPr>
      </w:pPr>
      <w:r>
        <w:rPr>
          <w:rFonts w:hint="eastAsia"/>
          <w:sz w:val="24"/>
          <w:szCs w:val="24"/>
        </w:rPr>
        <w:t>注：1、《竞投申请书》及相关资料</w:t>
      </w:r>
      <w:r>
        <w:rPr>
          <w:rFonts w:hint="eastAsia"/>
          <w:sz w:val="24"/>
          <w:szCs w:val="24"/>
          <w:lang w:val="en-US"/>
        </w:rPr>
        <w:t>须竞投人提前填写、准备（竞投人</w:t>
      </w:r>
      <w:r>
        <w:rPr>
          <w:rFonts w:hint="eastAsia"/>
          <w:sz w:val="24"/>
          <w:szCs w:val="24"/>
        </w:rPr>
        <w:t>对填写、制作资料不明白的，可联系拍卖行工作人员协助</w:t>
      </w:r>
      <w:r>
        <w:rPr>
          <w:rFonts w:hint="eastAsia"/>
          <w:sz w:val="24"/>
          <w:szCs w:val="24"/>
          <w:lang w:val="en-US"/>
        </w:rPr>
        <w:t>）</w:t>
      </w:r>
      <w:r>
        <w:rPr>
          <w:rFonts w:hint="eastAsia"/>
          <w:sz w:val="24"/>
          <w:szCs w:val="24"/>
        </w:rPr>
        <w:t>。2、竞投申请书必须使用本公开招租文件提供的文本格式；《竞投申请书》必须由</w:t>
      </w:r>
      <w:r>
        <w:rPr>
          <w:rFonts w:hint="eastAsia"/>
          <w:sz w:val="24"/>
          <w:szCs w:val="24"/>
          <w:lang w:val="en-US"/>
        </w:rPr>
        <w:t>竞投单位（个人）或委托代理人签章</w:t>
      </w:r>
      <w:r>
        <w:rPr>
          <w:rFonts w:hint="eastAsia"/>
          <w:sz w:val="24"/>
          <w:szCs w:val="24"/>
        </w:rPr>
        <w:t>。3、如</w:t>
      </w:r>
      <w:r>
        <w:rPr>
          <w:rFonts w:hint="eastAsia"/>
          <w:sz w:val="24"/>
          <w:szCs w:val="24"/>
          <w:lang w:val="en-US"/>
        </w:rPr>
        <w:t>竞投单位（个人）</w:t>
      </w:r>
      <w:r>
        <w:rPr>
          <w:rFonts w:hint="eastAsia"/>
          <w:sz w:val="24"/>
          <w:szCs w:val="24"/>
        </w:rPr>
        <w:t>不能亲自参加竞投的，必须填写申请书上的</w:t>
      </w:r>
      <w:r>
        <w:rPr>
          <w:rFonts w:hint="eastAsia"/>
          <w:sz w:val="24"/>
          <w:szCs w:val="24"/>
          <w:lang w:val="en-US"/>
        </w:rPr>
        <w:t>授权</w:t>
      </w:r>
      <w:r>
        <w:rPr>
          <w:rFonts w:hint="eastAsia"/>
          <w:sz w:val="24"/>
          <w:szCs w:val="24"/>
        </w:rPr>
        <w:t>委托书。委托代理人需提供</w:t>
      </w:r>
      <w:r>
        <w:rPr>
          <w:rFonts w:hint="eastAsia"/>
          <w:sz w:val="24"/>
          <w:szCs w:val="24"/>
          <w:lang w:val="en-US"/>
        </w:rPr>
        <w:t>授权</w:t>
      </w:r>
      <w:r>
        <w:rPr>
          <w:rFonts w:hint="eastAsia"/>
          <w:sz w:val="24"/>
          <w:szCs w:val="24"/>
        </w:rPr>
        <w:t>委托书原件，</w:t>
      </w:r>
      <w:r>
        <w:rPr>
          <w:rFonts w:hint="eastAsia"/>
          <w:sz w:val="24"/>
          <w:szCs w:val="24"/>
          <w:lang w:val="en-US"/>
        </w:rPr>
        <w:t>授权</w:t>
      </w:r>
      <w:r>
        <w:rPr>
          <w:rFonts w:hint="eastAsia"/>
          <w:sz w:val="24"/>
          <w:szCs w:val="24"/>
        </w:rPr>
        <w:t>委托书需由竞投人法定代表人签名并盖公章。</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四</w:t>
      </w:r>
      <w:r>
        <w:rPr>
          <w:rFonts w:hint="eastAsia"/>
          <w:sz w:val="24"/>
          <w:szCs w:val="24"/>
        </w:rPr>
        <w:t>）参加竞投人员(即现场举牌应价者)须提交</w:t>
      </w:r>
      <w:r>
        <w:rPr>
          <w:rFonts w:hint="eastAsia"/>
          <w:sz w:val="24"/>
          <w:szCs w:val="24"/>
          <w:lang w:val="en-US"/>
        </w:rPr>
        <w:t>有效的</w:t>
      </w:r>
      <w:r>
        <w:rPr>
          <w:rFonts w:hint="eastAsia"/>
          <w:sz w:val="24"/>
          <w:szCs w:val="24"/>
        </w:rPr>
        <w:t>身份证原件和复印件，且只能是</w:t>
      </w:r>
      <w:r>
        <w:rPr>
          <w:rFonts w:hint="eastAsia"/>
          <w:sz w:val="24"/>
          <w:szCs w:val="24"/>
          <w:lang w:val="en-US"/>
        </w:rPr>
        <w:t>竞投单位法人代表（个人）或其委托代理人</w:t>
      </w:r>
      <w:r>
        <w:rPr>
          <w:rFonts w:hint="eastAsia"/>
          <w:sz w:val="24"/>
          <w:szCs w:val="24"/>
        </w:rPr>
        <w:t>。</w:t>
      </w:r>
    </w:p>
    <w:p>
      <w:pPr>
        <w:adjustRightInd w:val="0"/>
        <w:snapToGrid w:val="0"/>
        <w:spacing w:line="360" w:lineRule="auto"/>
        <w:ind w:firstLine="480" w:firstLineChars="200"/>
        <w:jc w:val="both"/>
        <w:rPr>
          <w:sz w:val="24"/>
          <w:szCs w:val="24"/>
        </w:rPr>
      </w:pPr>
      <w:r>
        <w:rPr>
          <w:rFonts w:hint="eastAsia"/>
          <w:sz w:val="24"/>
          <w:szCs w:val="24"/>
        </w:rPr>
        <w:t>二、已缴交竞投保证金的竞投人必须在规定时间内到达会场，在签到处办理竞投登记手续，领取《号牌领取凭据》，并按照现场工作人员的安排就座。</w:t>
      </w:r>
    </w:p>
    <w:p>
      <w:pPr>
        <w:adjustRightInd w:val="0"/>
        <w:snapToGrid w:val="0"/>
        <w:spacing w:line="360" w:lineRule="auto"/>
        <w:ind w:firstLine="480" w:firstLineChars="200"/>
        <w:jc w:val="both"/>
        <w:rPr>
          <w:sz w:val="24"/>
          <w:szCs w:val="24"/>
        </w:rPr>
      </w:pPr>
      <w:r>
        <w:rPr>
          <w:rFonts w:hint="eastAsia"/>
          <w:sz w:val="24"/>
          <w:szCs w:val="24"/>
        </w:rPr>
        <w:t>三、竞投人一旦缴交竞投保证金，即视同已参与本次竞价活动，全面接受本公开招租文件的任何条款及受其约束，并严格遵守会场秩序（详见《竞投会场须知》）。</w:t>
      </w:r>
    </w:p>
    <w:p>
      <w:pPr>
        <w:adjustRightInd w:val="0"/>
        <w:snapToGrid w:val="0"/>
        <w:spacing w:line="360" w:lineRule="auto"/>
        <w:ind w:firstLine="480" w:firstLineChars="200"/>
        <w:jc w:val="both"/>
        <w:rPr>
          <w:sz w:val="24"/>
          <w:szCs w:val="24"/>
        </w:rPr>
      </w:pPr>
      <w:r>
        <w:rPr>
          <w:rFonts w:hint="eastAsia"/>
          <w:sz w:val="24"/>
          <w:szCs w:val="24"/>
        </w:rPr>
        <w:t>四、竞投申请资料提交者必须对所提交资料及竞投代理的真实性负全面责任。若有提交虚假资料或未获申请竞投人委托擅自参与竞投活动的，由此引起一切责任和损失均由竞投申请资料提交者负责，</w:t>
      </w:r>
      <w:r>
        <w:rPr>
          <w:rFonts w:hint="eastAsia"/>
          <w:sz w:val="24"/>
          <w:szCs w:val="24"/>
          <w:lang w:val="en-US"/>
        </w:rPr>
        <w:t>拍卖行</w:t>
      </w:r>
      <w:r>
        <w:rPr>
          <w:rFonts w:hint="eastAsia"/>
          <w:sz w:val="24"/>
          <w:szCs w:val="24"/>
        </w:rPr>
        <w:t>将取消其参加今后由</w:t>
      </w:r>
      <w:r>
        <w:rPr>
          <w:rFonts w:hint="eastAsia"/>
          <w:sz w:val="24"/>
          <w:szCs w:val="24"/>
          <w:lang w:val="en-US"/>
        </w:rPr>
        <w:t>拍卖行</w:t>
      </w:r>
      <w:r>
        <w:rPr>
          <w:rFonts w:hint="eastAsia"/>
          <w:sz w:val="24"/>
          <w:szCs w:val="24"/>
        </w:rPr>
        <w:t>组织的公开交易活动的竞投资格、保留追讨赔偿的权利，并根据情况追究其</w:t>
      </w:r>
      <w:r>
        <w:rPr>
          <w:rFonts w:hint="eastAsia"/>
          <w:sz w:val="24"/>
          <w:szCs w:val="24"/>
          <w:lang w:val="en-US"/>
        </w:rPr>
        <w:t>法律</w:t>
      </w:r>
      <w:r>
        <w:rPr>
          <w:rFonts w:hint="eastAsia"/>
          <w:sz w:val="24"/>
          <w:szCs w:val="24"/>
        </w:rPr>
        <w:t>责任。</w:t>
      </w:r>
    </w:p>
    <w:p>
      <w:pPr>
        <w:adjustRightInd w:val="0"/>
        <w:snapToGrid w:val="0"/>
        <w:spacing w:line="360" w:lineRule="auto"/>
        <w:ind w:firstLine="480" w:firstLineChars="200"/>
        <w:jc w:val="both"/>
        <w:rPr>
          <w:sz w:val="24"/>
          <w:szCs w:val="24"/>
        </w:rPr>
      </w:pPr>
      <w:r>
        <w:rPr>
          <w:rFonts w:hint="eastAsia"/>
          <w:sz w:val="24"/>
          <w:szCs w:val="24"/>
        </w:rPr>
        <w:t>五、本竞投标的的竞投登记手续于竞投会开始前截止（详细时间依据公告规定），登记手续截止后，不再接受竞投登记申请，未办理竞投登记手续的，视作自动放弃竞投权利。</w:t>
      </w:r>
    </w:p>
    <w:p>
      <w:pPr>
        <w:adjustRightInd w:val="0"/>
        <w:snapToGrid w:val="0"/>
        <w:spacing w:line="360" w:lineRule="auto"/>
        <w:ind w:firstLine="480" w:firstLineChars="200"/>
        <w:jc w:val="both"/>
        <w:rPr>
          <w:sz w:val="24"/>
          <w:szCs w:val="24"/>
        </w:rPr>
      </w:pPr>
      <w:r>
        <w:rPr>
          <w:rFonts w:hint="eastAsia"/>
          <w:sz w:val="24"/>
          <w:szCs w:val="24"/>
        </w:rPr>
        <w:t>六、竞投登记手续截止后，对竞投申请人资格进行现场审查。</w:t>
      </w:r>
    </w:p>
    <w:p>
      <w:pPr>
        <w:adjustRightInd w:val="0"/>
        <w:snapToGrid w:val="0"/>
        <w:spacing w:line="360" w:lineRule="auto"/>
        <w:ind w:firstLine="480" w:firstLineChars="200"/>
        <w:jc w:val="both"/>
        <w:rPr>
          <w:sz w:val="24"/>
          <w:szCs w:val="24"/>
        </w:rPr>
      </w:pPr>
      <w:bookmarkStart w:id="200" w:name="_Toc28376_WPSOffice_Level1"/>
      <w:r>
        <w:rPr>
          <w:rFonts w:hint="eastAsia"/>
          <w:sz w:val="24"/>
          <w:szCs w:val="24"/>
        </w:rPr>
        <w:t>(一)竞投人提交的申请竞投资料有下列情形之一的，为无效申请，将不能获得竞投资格：</w:t>
      </w:r>
      <w:bookmarkEnd w:id="200"/>
    </w:p>
    <w:p>
      <w:pPr>
        <w:adjustRightInd w:val="0"/>
        <w:snapToGrid w:val="0"/>
        <w:spacing w:line="360" w:lineRule="auto"/>
        <w:ind w:firstLine="480" w:firstLineChars="200"/>
        <w:jc w:val="both"/>
        <w:rPr>
          <w:sz w:val="24"/>
          <w:szCs w:val="24"/>
        </w:rPr>
      </w:pPr>
      <w:r>
        <w:rPr>
          <w:rFonts w:hint="eastAsia"/>
          <w:sz w:val="24"/>
          <w:szCs w:val="24"/>
        </w:rPr>
        <w:t>1、申请人不具备竞投资格的；</w:t>
      </w:r>
    </w:p>
    <w:p>
      <w:pPr>
        <w:adjustRightInd w:val="0"/>
        <w:snapToGrid w:val="0"/>
        <w:spacing w:line="360" w:lineRule="auto"/>
        <w:ind w:firstLine="480" w:firstLineChars="200"/>
        <w:jc w:val="both"/>
        <w:rPr>
          <w:sz w:val="24"/>
          <w:szCs w:val="24"/>
        </w:rPr>
      </w:pPr>
      <w:r>
        <w:rPr>
          <w:rFonts w:hint="eastAsia"/>
          <w:sz w:val="24"/>
          <w:szCs w:val="24"/>
        </w:rPr>
        <w:t>2、申请竞投资料不齐全或不符合规定的；</w:t>
      </w:r>
    </w:p>
    <w:p>
      <w:pPr>
        <w:adjustRightInd w:val="0"/>
        <w:snapToGrid w:val="0"/>
        <w:spacing w:line="360" w:lineRule="auto"/>
        <w:ind w:firstLine="480" w:firstLineChars="200"/>
        <w:jc w:val="both"/>
        <w:rPr>
          <w:sz w:val="24"/>
          <w:szCs w:val="24"/>
        </w:rPr>
      </w:pPr>
      <w:r>
        <w:rPr>
          <w:rFonts w:hint="eastAsia"/>
          <w:sz w:val="24"/>
          <w:szCs w:val="24"/>
        </w:rPr>
        <w:t>3、未按规定交纳竞投保证金的；</w:t>
      </w:r>
    </w:p>
    <w:p>
      <w:pPr>
        <w:adjustRightInd w:val="0"/>
        <w:snapToGrid w:val="0"/>
        <w:spacing w:line="360" w:lineRule="auto"/>
        <w:ind w:firstLine="480" w:firstLineChars="200"/>
        <w:jc w:val="both"/>
        <w:rPr>
          <w:sz w:val="24"/>
          <w:szCs w:val="24"/>
        </w:rPr>
      </w:pPr>
      <w:r>
        <w:rPr>
          <w:rFonts w:hint="eastAsia"/>
          <w:sz w:val="24"/>
          <w:szCs w:val="24"/>
        </w:rPr>
        <w:t>4、到场参与竞投人员并非竞投人的法定代表人或委托代理人；</w:t>
      </w:r>
    </w:p>
    <w:p>
      <w:pPr>
        <w:adjustRightInd w:val="0"/>
        <w:snapToGrid w:val="0"/>
        <w:spacing w:line="360" w:lineRule="auto"/>
        <w:ind w:firstLine="480" w:firstLineChars="200"/>
        <w:jc w:val="both"/>
        <w:rPr>
          <w:sz w:val="24"/>
          <w:szCs w:val="24"/>
        </w:rPr>
      </w:pPr>
      <w:r>
        <w:rPr>
          <w:rFonts w:hint="eastAsia"/>
          <w:sz w:val="24"/>
          <w:szCs w:val="24"/>
          <w:lang w:val="en-US"/>
        </w:rPr>
        <w:t>5、</w:t>
      </w:r>
      <w:r>
        <w:rPr>
          <w:rFonts w:hint="eastAsia"/>
          <w:sz w:val="24"/>
          <w:szCs w:val="24"/>
        </w:rPr>
        <w:t>法律、法规规定的其他情形。</w:t>
      </w:r>
    </w:p>
    <w:p>
      <w:pPr>
        <w:adjustRightInd w:val="0"/>
        <w:snapToGrid w:val="0"/>
        <w:spacing w:line="360" w:lineRule="auto"/>
        <w:ind w:firstLine="480" w:firstLineChars="200"/>
        <w:jc w:val="both"/>
        <w:rPr>
          <w:sz w:val="24"/>
          <w:szCs w:val="24"/>
        </w:rPr>
      </w:pPr>
      <w:bookmarkStart w:id="201" w:name="_Toc13128_WPSOffice_Level1"/>
      <w:r>
        <w:rPr>
          <w:rFonts w:hint="eastAsia"/>
          <w:sz w:val="24"/>
          <w:szCs w:val="24"/>
        </w:rPr>
        <w:t>(二)竞投人资格现场审查程序（部分程序可根据实际情况处理）：</w:t>
      </w:r>
      <w:bookmarkEnd w:id="201"/>
    </w:p>
    <w:p>
      <w:pPr>
        <w:adjustRightInd w:val="0"/>
        <w:snapToGrid w:val="0"/>
        <w:spacing w:line="360" w:lineRule="auto"/>
        <w:ind w:firstLine="480" w:firstLineChars="200"/>
        <w:jc w:val="both"/>
        <w:rPr>
          <w:sz w:val="24"/>
          <w:szCs w:val="24"/>
        </w:rPr>
      </w:pPr>
      <w:r>
        <w:rPr>
          <w:rFonts w:hint="eastAsia"/>
          <w:sz w:val="24"/>
          <w:szCs w:val="24"/>
        </w:rPr>
        <w:t>1、竞投会开始主持人宣布竞投登记手续截止，开始进行竞投人资格审查。</w:t>
      </w:r>
    </w:p>
    <w:p>
      <w:pPr>
        <w:adjustRightInd w:val="0"/>
        <w:snapToGrid w:val="0"/>
        <w:spacing w:line="360" w:lineRule="auto"/>
        <w:ind w:firstLine="480" w:firstLineChars="200"/>
        <w:jc w:val="both"/>
        <w:rPr>
          <w:sz w:val="24"/>
          <w:szCs w:val="24"/>
        </w:rPr>
      </w:pPr>
      <w:r>
        <w:rPr>
          <w:rFonts w:hint="eastAsia"/>
          <w:sz w:val="24"/>
          <w:szCs w:val="24"/>
        </w:rPr>
        <w:t>2、资格审查小组人员按资料提交顺序进行竞投资格审查。</w:t>
      </w:r>
    </w:p>
    <w:p>
      <w:pPr>
        <w:adjustRightInd w:val="0"/>
        <w:snapToGrid w:val="0"/>
        <w:spacing w:line="360" w:lineRule="auto"/>
        <w:ind w:firstLine="480" w:firstLineChars="200"/>
        <w:jc w:val="both"/>
        <w:rPr>
          <w:sz w:val="24"/>
          <w:szCs w:val="24"/>
        </w:rPr>
      </w:pPr>
      <w:r>
        <w:rPr>
          <w:rFonts w:hint="eastAsia"/>
          <w:sz w:val="24"/>
          <w:szCs w:val="24"/>
        </w:rPr>
        <w:t>3、主持人宣布资格审查结果，包括审查合格的竞投人、不合格的竞投人以及不合格原因。经审查不合格的竞投人可当场提出复核，但不能通过补交资料取得竞投资格。</w:t>
      </w:r>
    </w:p>
    <w:p>
      <w:pPr>
        <w:adjustRightInd w:val="0"/>
        <w:snapToGrid w:val="0"/>
        <w:spacing w:line="360" w:lineRule="auto"/>
        <w:ind w:firstLine="480" w:firstLineChars="200"/>
        <w:jc w:val="both"/>
        <w:rPr>
          <w:sz w:val="24"/>
          <w:szCs w:val="24"/>
        </w:rPr>
      </w:pPr>
      <w:r>
        <w:rPr>
          <w:rFonts w:hint="eastAsia"/>
          <w:sz w:val="24"/>
          <w:szCs w:val="24"/>
        </w:rPr>
        <w:t>4、竞</w:t>
      </w:r>
      <w:r>
        <w:rPr>
          <w:rFonts w:hint="eastAsia"/>
          <w:sz w:val="24"/>
          <w:szCs w:val="24"/>
          <w:lang w:val="en-US"/>
        </w:rPr>
        <w:t>投</w:t>
      </w:r>
      <w:r>
        <w:rPr>
          <w:rFonts w:hint="eastAsia"/>
          <w:sz w:val="24"/>
          <w:szCs w:val="24"/>
        </w:rPr>
        <w:t>主持人询问被审定不合格的竞投人是否要求复核审查结果。不要求复核的竞投人即时离场，要求复核的竞投人由审查小组即场复核，复核结果仍然不合格的亦要即时离场。</w:t>
      </w:r>
    </w:p>
    <w:p>
      <w:pPr>
        <w:adjustRightInd w:val="0"/>
        <w:snapToGrid w:val="0"/>
        <w:spacing w:line="360" w:lineRule="auto"/>
        <w:ind w:firstLine="480" w:firstLineChars="200"/>
        <w:jc w:val="both"/>
        <w:rPr>
          <w:sz w:val="24"/>
          <w:szCs w:val="24"/>
        </w:rPr>
      </w:pPr>
      <w:r>
        <w:rPr>
          <w:rFonts w:hint="eastAsia"/>
          <w:sz w:val="24"/>
          <w:szCs w:val="24"/>
        </w:rPr>
        <w:t>5、资格审查(或复核)合格的竞投人凭《号牌领取凭据》到前台签收竞投号牌，参与竞投报价。</w:t>
      </w:r>
    </w:p>
    <w:p>
      <w:pPr>
        <w:adjustRightInd w:val="0"/>
        <w:snapToGrid w:val="0"/>
        <w:spacing w:line="360" w:lineRule="auto"/>
        <w:ind w:firstLine="480" w:firstLineChars="200"/>
        <w:jc w:val="both"/>
        <w:rPr>
          <w:sz w:val="24"/>
          <w:szCs w:val="24"/>
        </w:rPr>
      </w:pPr>
      <w:bookmarkStart w:id="202" w:name="竞投程序及规则"/>
      <w:bookmarkEnd w:id="202"/>
    </w:p>
    <w:p>
      <w:pPr>
        <w:adjustRightInd w:val="0"/>
        <w:snapToGrid w:val="0"/>
        <w:spacing w:line="360" w:lineRule="auto"/>
        <w:jc w:val="both"/>
        <w:outlineLvl w:val="1"/>
        <w:rPr>
          <w:b/>
          <w:bCs/>
          <w:sz w:val="32"/>
          <w:szCs w:val="32"/>
          <w:lang w:val="en-US"/>
        </w:rPr>
      </w:pPr>
      <w:bookmarkStart w:id="203" w:name="_Toc19759_WPSOffice_Level1"/>
      <w:bookmarkStart w:id="204" w:name="_Toc25656123"/>
      <w:bookmarkStart w:id="205" w:name="_Toc26848_WPSOffice_Level2"/>
      <w:bookmarkStart w:id="206" w:name="_Toc5871_WPSOffice_Level2"/>
      <w:bookmarkStart w:id="207" w:name="_Toc26477_WPSOffice_Level2"/>
      <w:bookmarkStart w:id="208" w:name="_Toc8789_WPSOffice_Level2"/>
    </w:p>
    <w:p>
      <w:pPr>
        <w:adjustRightInd w:val="0"/>
        <w:snapToGrid w:val="0"/>
        <w:spacing w:line="360" w:lineRule="auto"/>
        <w:jc w:val="center"/>
        <w:outlineLvl w:val="1"/>
        <w:rPr>
          <w:b/>
          <w:bCs/>
          <w:sz w:val="32"/>
          <w:szCs w:val="32"/>
          <w:lang w:val="en-US"/>
        </w:rPr>
      </w:pPr>
      <w:bookmarkStart w:id="209" w:name="_Toc14176"/>
      <w:bookmarkStart w:id="210" w:name="_Toc3417"/>
      <w:bookmarkStart w:id="211" w:name="_Toc28916"/>
      <w:bookmarkStart w:id="212" w:name="_Toc24230"/>
      <w:bookmarkStart w:id="213" w:name="_Toc22780"/>
      <w:bookmarkStart w:id="214" w:name="_Toc31690"/>
      <w:bookmarkStart w:id="215" w:name="_Toc23203"/>
    </w:p>
    <w:p>
      <w:pPr>
        <w:adjustRightInd w:val="0"/>
        <w:snapToGrid w:val="0"/>
        <w:spacing w:line="360" w:lineRule="auto"/>
        <w:jc w:val="center"/>
        <w:outlineLvl w:val="1"/>
        <w:rPr>
          <w:b/>
          <w:bCs/>
          <w:sz w:val="32"/>
          <w:szCs w:val="32"/>
          <w:lang w:val="en-US"/>
        </w:rPr>
      </w:pPr>
    </w:p>
    <w:p>
      <w:pPr>
        <w:adjustRightInd w:val="0"/>
        <w:snapToGrid w:val="0"/>
        <w:spacing w:line="360" w:lineRule="auto"/>
        <w:jc w:val="center"/>
        <w:outlineLvl w:val="1"/>
        <w:rPr>
          <w:b/>
          <w:bCs/>
          <w:sz w:val="32"/>
          <w:szCs w:val="32"/>
          <w:lang w:val="en-US"/>
        </w:rPr>
      </w:pPr>
    </w:p>
    <w:p>
      <w:pPr>
        <w:adjustRightInd w:val="0"/>
        <w:snapToGrid w:val="0"/>
        <w:spacing w:line="360" w:lineRule="auto"/>
        <w:jc w:val="center"/>
        <w:outlineLvl w:val="1"/>
        <w:rPr>
          <w:b/>
          <w:bCs/>
          <w:sz w:val="32"/>
          <w:szCs w:val="32"/>
        </w:rPr>
      </w:pPr>
      <w:r>
        <w:rPr>
          <w:rFonts w:hint="eastAsia"/>
          <w:b/>
          <w:bCs/>
          <w:sz w:val="32"/>
          <w:szCs w:val="32"/>
          <w:lang w:val="en-US"/>
        </w:rPr>
        <w:t>三、</w:t>
      </w:r>
      <w:r>
        <w:rPr>
          <w:rFonts w:hint="eastAsia"/>
          <w:b/>
          <w:bCs/>
          <w:sz w:val="32"/>
          <w:szCs w:val="32"/>
        </w:rPr>
        <w:t>竞投程序及规则</w:t>
      </w:r>
      <w:bookmarkEnd w:id="203"/>
      <w:bookmarkEnd w:id="204"/>
      <w:bookmarkEnd w:id="205"/>
      <w:bookmarkEnd w:id="206"/>
      <w:bookmarkEnd w:id="207"/>
      <w:bookmarkEnd w:id="208"/>
      <w:bookmarkEnd w:id="209"/>
      <w:bookmarkEnd w:id="210"/>
      <w:bookmarkEnd w:id="211"/>
      <w:bookmarkEnd w:id="212"/>
      <w:bookmarkEnd w:id="213"/>
      <w:bookmarkEnd w:id="214"/>
      <w:bookmarkEnd w:id="215"/>
    </w:p>
    <w:p>
      <w:pPr>
        <w:adjustRightInd w:val="0"/>
        <w:snapToGrid w:val="0"/>
        <w:spacing w:line="360" w:lineRule="auto"/>
        <w:ind w:firstLine="480" w:firstLineChars="200"/>
        <w:jc w:val="both"/>
        <w:rPr>
          <w:sz w:val="24"/>
          <w:szCs w:val="24"/>
        </w:rPr>
      </w:pPr>
      <w:r>
        <w:rPr>
          <w:rFonts w:hint="eastAsia"/>
          <w:sz w:val="24"/>
          <w:szCs w:val="24"/>
        </w:rPr>
        <w:t>一、竞投会程序：</w:t>
      </w:r>
    </w:p>
    <w:p>
      <w:pPr>
        <w:adjustRightInd w:val="0"/>
        <w:snapToGrid w:val="0"/>
        <w:spacing w:line="360" w:lineRule="auto"/>
        <w:ind w:firstLine="480" w:firstLineChars="200"/>
        <w:jc w:val="both"/>
        <w:rPr>
          <w:sz w:val="24"/>
          <w:szCs w:val="24"/>
        </w:rPr>
      </w:pPr>
      <w:r>
        <w:rPr>
          <w:rFonts w:hint="eastAsia"/>
          <w:sz w:val="24"/>
          <w:szCs w:val="24"/>
        </w:rPr>
        <w:t>（一）出租人代表、主持人、书记员就位。</w:t>
      </w:r>
    </w:p>
    <w:p>
      <w:pPr>
        <w:adjustRightInd w:val="0"/>
        <w:snapToGrid w:val="0"/>
        <w:spacing w:line="360" w:lineRule="auto"/>
        <w:ind w:firstLine="480" w:firstLineChars="200"/>
        <w:jc w:val="both"/>
        <w:rPr>
          <w:sz w:val="24"/>
          <w:szCs w:val="24"/>
        </w:rPr>
      </w:pPr>
      <w:r>
        <w:rPr>
          <w:rFonts w:hint="eastAsia"/>
          <w:sz w:val="24"/>
          <w:szCs w:val="24"/>
        </w:rPr>
        <w:t>（二）主持人介绍竞投的程序和注意事项。</w:t>
      </w:r>
    </w:p>
    <w:p>
      <w:pPr>
        <w:adjustRightInd w:val="0"/>
        <w:snapToGrid w:val="0"/>
        <w:spacing w:line="360" w:lineRule="auto"/>
        <w:ind w:firstLine="480" w:firstLineChars="200"/>
        <w:jc w:val="both"/>
        <w:rPr>
          <w:sz w:val="24"/>
          <w:szCs w:val="24"/>
        </w:rPr>
      </w:pPr>
      <w:r>
        <w:rPr>
          <w:rFonts w:hint="eastAsia"/>
          <w:sz w:val="24"/>
          <w:szCs w:val="24"/>
        </w:rPr>
        <w:t>（三）主持人介绍租赁地块的情况以及应当引起竞价人注意的特别条款。</w:t>
      </w:r>
    </w:p>
    <w:p>
      <w:pPr>
        <w:adjustRightInd w:val="0"/>
        <w:snapToGrid w:val="0"/>
        <w:spacing w:line="360" w:lineRule="auto"/>
        <w:ind w:firstLine="480" w:firstLineChars="200"/>
        <w:jc w:val="both"/>
        <w:rPr>
          <w:sz w:val="24"/>
          <w:szCs w:val="24"/>
        </w:rPr>
      </w:pPr>
      <w:r>
        <w:rPr>
          <w:rFonts w:hint="eastAsia"/>
          <w:sz w:val="24"/>
          <w:szCs w:val="24"/>
        </w:rPr>
        <w:t>（四）主持人宣读《竞投申请书》中最高报价作为每个标的物的现场起投价和增价幅度，从起投价开始报价，并按以下方式确定承租人：</w:t>
      </w:r>
    </w:p>
    <w:p>
      <w:pPr>
        <w:adjustRightInd w:val="0"/>
        <w:snapToGrid w:val="0"/>
        <w:spacing w:line="360" w:lineRule="auto"/>
        <w:ind w:firstLine="480" w:firstLineChars="200"/>
        <w:jc w:val="both"/>
        <w:rPr>
          <w:sz w:val="24"/>
          <w:szCs w:val="24"/>
        </w:rPr>
      </w:pPr>
      <w:r>
        <w:rPr>
          <w:rFonts w:hint="eastAsia"/>
          <w:sz w:val="24"/>
          <w:szCs w:val="24"/>
        </w:rPr>
        <w:t>当只有1位竞投人成功报名且按规定交纳竞投保证金参加竞价且符合资格要求的，拍卖人宣读竞得人号牌并按挂牌价与竞投方报价孰高原则成交。</w:t>
      </w:r>
    </w:p>
    <w:p>
      <w:pPr>
        <w:adjustRightInd w:val="0"/>
        <w:snapToGrid w:val="0"/>
        <w:spacing w:line="360" w:lineRule="auto"/>
        <w:ind w:firstLine="480" w:firstLineChars="200"/>
        <w:jc w:val="both"/>
        <w:rPr>
          <w:sz w:val="24"/>
          <w:szCs w:val="24"/>
        </w:rPr>
      </w:pPr>
      <w:r>
        <w:rPr>
          <w:rFonts w:hint="eastAsia"/>
          <w:sz w:val="24"/>
          <w:szCs w:val="24"/>
        </w:rPr>
        <w:t>当有2位或以上符合资格要求的竞投人报名参加竞价时，则按照价高者得原则确定竞得人（如其中一人为原租户，则同时按照相同价位原租户享有优先权原则执行）。</w:t>
      </w:r>
    </w:p>
    <w:p>
      <w:pPr>
        <w:adjustRightInd w:val="0"/>
        <w:snapToGrid w:val="0"/>
        <w:spacing w:line="360" w:lineRule="auto"/>
        <w:ind w:firstLine="480" w:firstLineChars="200"/>
        <w:jc w:val="both"/>
        <w:rPr>
          <w:sz w:val="24"/>
          <w:szCs w:val="24"/>
        </w:rPr>
      </w:pPr>
      <w:r>
        <w:rPr>
          <w:rFonts w:hint="eastAsia"/>
          <w:sz w:val="24"/>
          <w:szCs w:val="24"/>
        </w:rPr>
        <w:t>若无人报名或无合资格的竞投意向人，则另行组织交易。</w:t>
      </w:r>
    </w:p>
    <w:p>
      <w:pPr>
        <w:adjustRightInd w:val="0"/>
        <w:snapToGrid w:val="0"/>
        <w:spacing w:line="360" w:lineRule="auto"/>
        <w:ind w:firstLine="480" w:firstLineChars="200"/>
        <w:jc w:val="both"/>
        <w:rPr>
          <w:sz w:val="24"/>
          <w:szCs w:val="24"/>
        </w:rPr>
      </w:pPr>
      <w:r>
        <w:rPr>
          <w:rFonts w:hint="eastAsia"/>
          <w:sz w:val="24"/>
          <w:szCs w:val="24"/>
        </w:rPr>
        <w:t>(五)现场抽签程序（在初始报价相同但没有竞投人举牌的情况下使用）：</w:t>
      </w:r>
    </w:p>
    <w:p>
      <w:pPr>
        <w:adjustRightInd w:val="0"/>
        <w:snapToGrid w:val="0"/>
        <w:spacing w:line="360" w:lineRule="auto"/>
        <w:ind w:firstLine="480" w:firstLineChars="200"/>
        <w:jc w:val="both"/>
        <w:rPr>
          <w:sz w:val="24"/>
          <w:szCs w:val="24"/>
        </w:rPr>
      </w:pPr>
      <w:r>
        <w:rPr>
          <w:rFonts w:hint="eastAsia"/>
          <w:sz w:val="24"/>
          <w:szCs w:val="24"/>
        </w:rPr>
        <w:t>现场抽签采用两轮摇珠的方式确定竞得人。第一轮：按竞投人的签到登记顺序，分别摇出各竞投人的代码球；第二轮：将代表各竞投人的代码球放入摇珠机内，进行一次摇珠，摇出的代码球所对应的竞投人就是本次租赁的竞得人。</w:t>
      </w:r>
    </w:p>
    <w:p>
      <w:pPr>
        <w:adjustRightInd w:val="0"/>
        <w:snapToGrid w:val="0"/>
        <w:spacing w:line="360" w:lineRule="auto"/>
        <w:ind w:firstLine="480" w:firstLineChars="200"/>
        <w:jc w:val="both"/>
        <w:rPr>
          <w:sz w:val="24"/>
          <w:szCs w:val="24"/>
        </w:rPr>
      </w:pPr>
      <w:r>
        <w:rPr>
          <w:rFonts w:hint="eastAsia"/>
          <w:sz w:val="24"/>
          <w:szCs w:val="24"/>
        </w:rPr>
        <w:t>(六)现场竞价程序：</w:t>
      </w:r>
    </w:p>
    <w:p>
      <w:pPr>
        <w:adjustRightInd w:val="0"/>
        <w:snapToGrid w:val="0"/>
        <w:spacing w:line="360" w:lineRule="auto"/>
        <w:ind w:firstLine="480" w:firstLineChars="200"/>
        <w:jc w:val="both"/>
        <w:rPr>
          <w:sz w:val="24"/>
          <w:szCs w:val="24"/>
        </w:rPr>
      </w:pPr>
      <w:r>
        <w:rPr>
          <w:rFonts w:hint="eastAsia"/>
          <w:sz w:val="24"/>
          <w:szCs w:val="24"/>
        </w:rPr>
        <w:t>1、主持人宣布，以《竞投申请书》中最高报价作为每个标的物的现场起投价和每次应价的加价幅度。</w:t>
      </w:r>
    </w:p>
    <w:p>
      <w:pPr>
        <w:adjustRightInd w:val="0"/>
        <w:snapToGrid w:val="0"/>
        <w:spacing w:line="360" w:lineRule="auto"/>
        <w:ind w:firstLine="480" w:firstLineChars="200"/>
        <w:jc w:val="both"/>
        <w:rPr>
          <w:sz w:val="24"/>
          <w:szCs w:val="24"/>
        </w:rPr>
      </w:pPr>
      <w:r>
        <w:rPr>
          <w:rFonts w:hint="eastAsia"/>
          <w:sz w:val="24"/>
          <w:szCs w:val="24"/>
        </w:rPr>
        <w:t>2、竞投人以举号牌的方式进行应价（若该标的物无人交纳有效的竞投保证金，对应标的物竞投终止）。</w:t>
      </w:r>
    </w:p>
    <w:p>
      <w:pPr>
        <w:adjustRightInd w:val="0"/>
        <w:snapToGrid w:val="0"/>
        <w:spacing w:line="360" w:lineRule="auto"/>
        <w:ind w:firstLine="480" w:firstLineChars="200"/>
        <w:jc w:val="both"/>
        <w:rPr>
          <w:sz w:val="24"/>
          <w:szCs w:val="24"/>
        </w:rPr>
      </w:pPr>
      <w:r>
        <w:rPr>
          <w:rFonts w:hint="eastAsia"/>
          <w:sz w:val="24"/>
          <w:szCs w:val="24"/>
        </w:rPr>
        <w:t>3、主持人当即报出当前竞投人的有效报价和牌号，其他竞价人可继续应价。</w:t>
      </w:r>
    </w:p>
    <w:p>
      <w:pPr>
        <w:adjustRightInd w:val="0"/>
        <w:snapToGrid w:val="0"/>
        <w:spacing w:line="360" w:lineRule="auto"/>
        <w:ind w:firstLine="480" w:firstLineChars="200"/>
        <w:jc w:val="both"/>
        <w:rPr>
          <w:sz w:val="24"/>
          <w:szCs w:val="24"/>
        </w:rPr>
      </w:pPr>
      <w:r>
        <w:rPr>
          <w:rFonts w:hint="eastAsia"/>
          <w:sz w:val="24"/>
          <w:szCs w:val="24"/>
        </w:rPr>
        <w:t>4、当场上出现最高应价时，主持人三声报价后以落槌或其他约定方式确认竞投成交（落槌前至少间隔3秒）。</w:t>
      </w:r>
    </w:p>
    <w:p>
      <w:pPr>
        <w:adjustRightInd w:val="0"/>
        <w:snapToGrid w:val="0"/>
        <w:spacing w:line="360" w:lineRule="auto"/>
        <w:ind w:firstLine="480" w:firstLineChars="200"/>
        <w:jc w:val="both"/>
        <w:rPr>
          <w:sz w:val="24"/>
          <w:szCs w:val="24"/>
        </w:rPr>
      </w:pPr>
      <w:r>
        <w:rPr>
          <w:rFonts w:hint="eastAsia"/>
          <w:sz w:val="24"/>
          <w:szCs w:val="24"/>
        </w:rPr>
        <w:t>5、主持人根据公开招租文件所规定的方法、原则确定竞得人，并当场公布。</w:t>
      </w:r>
    </w:p>
    <w:p>
      <w:pPr>
        <w:adjustRightInd w:val="0"/>
        <w:snapToGrid w:val="0"/>
        <w:spacing w:line="360" w:lineRule="auto"/>
        <w:ind w:firstLine="480" w:firstLineChars="200"/>
        <w:jc w:val="both"/>
        <w:rPr>
          <w:sz w:val="24"/>
          <w:szCs w:val="24"/>
        </w:rPr>
      </w:pPr>
      <w:r>
        <w:rPr>
          <w:rFonts w:hint="eastAsia"/>
          <w:sz w:val="24"/>
          <w:szCs w:val="24"/>
        </w:rPr>
        <w:t xml:space="preserve"> (</w:t>
      </w:r>
      <w:r>
        <w:rPr>
          <w:rFonts w:hint="eastAsia"/>
          <w:sz w:val="24"/>
          <w:szCs w:val="24"/>
          <w:lang w:val="en-US"/>
        </w:rPr>
        <w:t>七</w:t>
      </w:r>
      <w:r>
        <w:rPr>
          <w:rFonts w:hint="eastAsia"/>
          <w:sz w:val="24"/>
          <w:szCs w:val="24"/>
        </w:rPr>
        <w:t>)出租人代表与竞得人签订《中标</w:t>
      </w:r>
      <w:r>
        <w:rPr>
          <w:rFonts w:hint="eastAsia"/>
          <w:sz w:val="24"/>
          <w:szCs w:val="24"/>
          <w:lang w:val="en-US"/>
        </w:rPr>
        <w:t>成交</w:t>
      </w:r>
      <w:r>
        <w:rPr>
          <w:rFonts w:hint="eastAsia"/>
          <w:sz w:val="24"/>
          <w:szCs w:val="24"/>
        </w:rPr>
        <w:t>凭证》。</w:t>
      </w:r>
    </w:p>
    <w:p>
      <w:pPr>
        <w:adjustRightInd w:val="0"/>
        <w:snapToGrid w:val="0"/>
        <w:spacing w:line="360" w:lineRule="auto"/>
        <w:ind w:firstLine="480" w:firstLineChars="200"/>
        <w:jc w:val="both"/>
        <w:rPr>
          <w:sz w:val="24"/>
          <w:szCs w:val="24"/>
        </w:rPr>
      </w:pPr>
      <w:r>
        <w:rPr>
          <w:rFonts w:hint="eastAsia"/>
          <w:sz w:val="24"/>
          <w:szCs w:val="24"/>
          <w:lang w:val="en-US"/>
        </w:rPr>
        <w:t>二、</w:t>
      </w:r>
      <w:r>
        <w:rPr>
          <w:rFonts w:hint="eastAsia"/>
          <w:sz w:val="24"/>
          <w:szCs w:val="24"/>
        </w:rPr>
        <w:t>竞价规则：</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一</w:t>
      </w:r>
      <w:r>
        <w:rPr>
          <w:rFonts w:hint="eastAsia"/>
          <w:sz w:val="24"/>
          <w:szCs w:val="24"/>
        </w:rPr>
        <w:t>）竞投人可凭领取的号牌及根据所缴付保证金的数额竞投相应标的。</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二</w:t>
      </w:r>
      <w:r>
        <w:rPr>
          <w:rFonts w:hint="eastAsia"/>
          <w:sz w:val="24"/>
          <w:szCs w:val="24"/>
        </w:rPr>
        <w:t>）竞投人对所选号牌在竞投过程中所作的应价行为负全部责任（不得把号牌借给他人）。</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三</w:t>
      </w:r>
      <w:r>
        <w:rPr>
          <w:rFonts w:hint="eastAsia"/>
          <w:sz w:val="24"/>
          <w:szCs w:val="24"/>
        </w:rPr>
        <w:t>）本次竞投采用增价方式，按价高者得的原则确定竞得人。在竞投过程中，以对应标的物《竞投申请书》中的最高报价作为每个标的物的现场起投价为起点，通过举号牌应价的方式竞相加价，出价最高的竞投人为竞得人。</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四</w:t>
      </w:r>
      <w:r>
        <w:rPr>
          <w:rFonts w:hint="eastAsia"/>
          <w:sz w:val="24"/>
          <w:szCs w:val="24"/>
        </w:rPr>
        <w:t>）竞投人应价，必须举号牌示意，号牌必须高举过头。</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五</w:t>
      </w:r>
      <w:r>
        <w:rPr>
          <w:rFonts w:hint="eastAsia"/>
          <w:sz w:val="24"/>
          <w:szCs w:val="24"/>
        </w:rPr>
        <w:t>）竞投人举号牌应价之后，不得撤回，否则出租人有权没收该竞投人全部竞投保证金，并追究由此引起的经济和法律责任。</w:t>
      </w:r>
    </w:p>
    <w:p>
      <w:pPr>
        <w:adjustRightInd w:val="0"/>
        <w:snapToGrid w:val="0"/>
        <w:spacing w:line="360" w:lineRule="auto"/>
        <w:ind w:firstLine="480" w:firstLineChars="200"/>
        <w:jc w:val="both"/>
        <w:rPr>
          <w:sz w:val="24"/>
          <w:szCs w:val="24"/>
        </w:rPr>
      </w:pPr>
      <w:r>
        <w:rPr>
          <w:rFonts w:hint="eastAsia"/>
          <w:sz w:val="24"/>
          <w:szCs w:val="24"/>
        </w:rPr>
        <w:t>（六）当主持人宣布底价和每次应价的加价幅度，宣布起叫后，竞投人才能举牌报价，提早举牌的，该报价无效。</w:t>
      </w:r>
    </w:p>
    <w:p>
      <w:pPr>
        <w:adjustRightInd w:val="0"/>
        <w:snapToGrid w:val="0"/>
        <w:spacing w:line="360" w:lineRule="auto"/>
        <w:ind w:firstLine="440" w:firstLineChars="200"/>
        <w:jc w:val="both"/>
        <w:rPr>
          <w:sz w:val="24"/>
          <w:szCs w:val="24"/>
        </w:rPr>
      </w:pPr>
      <w:r>
        <w:rPr>
          <w:rFonts w:hint="eastAsia"/>
          <w:szCs w:val="21"/>
        </w:rPr>
        <w:t>（</w:t>
      </w:r>
      <w:r>
        <w:rPr>
          <w:rFonts w:hint="eastAsia"/>
          <w:sz w:val="24"/>
          <w:szCs w:val="24"/>
        </w:rPr>
        <w:t>七）本次报价的“竞价阶梯”为</w:t>
      </w:r>
      <w:r>
        <w:rPr>
          <w:rFonts w:hint="eastAsia"/>
          <w:sz w:val="24"/>
          <w:szCs w:val="24"/>
          <w:lang w:val="en-US"/>
        </w:rPr>
        <w:t>100</w:t>
      </w:r>
      <w:r>
        <w:rPr>
          <w:rFonts w:hint="eastAsia"/>
          <w:sz w:val="24"/>
          <w:szCs w:val="24"/>
        </w:rPr>
        <w:t>.00-</w:t>
      </w:r>
      <w:r>
        <w:rPr>
          <w:rFonts w:hint="eastAsia"/>
          <w:sz w:val="24"/>
          <w:szCs w:val="24"/>
          <w:lang w:val="en-US"/>
        </w:rPr>
        <w:t>20</w:t>
      </w:r>
      <w:r>
        <w:rPr>
          <w:rFonts w:hint="eastAsia"/>
          <w:sz w:val="24"/>
          <w:szCs w:val="24"/>
        </w:rPr>
        <w:t>0元/月，竞价人举牌一次默认累加</w:t>
      </w:r>
      <w:r>
        <w:rPr>
          <w:rFonts w:hint="eastAsia"/>
          <w:sz w:val="24"/>
          <w:szCs w:val="24"/>
          <w:lang w:val="en-US"/>
        </w:rPr>
        <w:t>100</w:t>
      </w:r>
      <w:r>
        <w:rPr>
          <w:sz w:val="24"/>
          <w:szCs w:val="24"/>
        </w:rPr>
        <w:t>-</w:t>
      </w:r>
      <w:r>
        <w:rPr>
          <w:rFonts w:hint="eastAsia"/>
          <w:sz w:val="24"/>
          <w:szCs w:val="24"/>
          <w:lang w:val="en-US"/>
        </w:rPr>
        <w:t>200</w:t>
      </w:r>
      <w:r>
        <w:rPr>
          <w:rFonts w:hint="eastAsia"/>
          <w:sz w:val="24"/>
          <w:szCs w:val="24"/>
        </w:rPr>
        <w:t>元/月。竞投人也可在举牌的同时进行口头报价，但每一次举牌报价时须报出等于或高于主持人所规定的“竞价阶梯”的整数倍；</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八</w:t>
      </w:r>
      <w:r>
        <w:rPr>
          <w:rFonts w:hint="eastAsia"/>
          <w:sz w:val="24"/>
          <w:szCs w:val="24"/>
        </w:rPr>
        <w:t>）竞投人首次举牌即视为底价（除口头报价外），为方便叫价，主持人会根据实际情况对下一口价进行修正、凑整等。</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九</w:t>
      </w:r>
      <w:r>
        <w:rPr>
          <w:rFonts w:hint="eastAsia"/>
          <w:sz w:val="24"/>
          <w:szCs w:val="24"/>
        </w:rPr>
        <w:t>）在竞投过程当中，出现两个或两个以上竞投人同时应价的，主持人会报出其中一个应价及牌号，视作当前的竞投金额和号牌号码。其他竞投人应当立即放下号牌，否则视作愿意出更高的一个价位继续竞投。</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十</w:t>
      </w:r>
      <w:r>
        <w:rPr>
          <w:rFonts w:hint="eastAsia"/>
          <w:sz w:val="24"/>
          <w:szCs w:val="24"/>
        </w:rPr>
        <w:t>）当主持人当场宣布确认成交后，即表示竞投标的已经成交，竞投人再应价均属无效。主持人在竞投过程当中的报价以元为单位，以人民币结算。</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十一</w:t>
      </w:r>
      <w:r>
        <w:rPr>
          <w:rFonts w:hint="eastAsia"/>
          <w:sz w:val="24"/>
          <w:szCs w:val="24"/>
        </w:rPr>
        <w:t>）主持人在最后竞价人的最高报价上经三声确认仍无人再加价时以落槌或其他约定方式确认成交后，</w:t>
      </w:r>
      <w:r>
        <w:rPr>
          <w:rFonts w:hint="eastAsia"/>
          <w:sz w:val="24"/>
          <w:szCs w:val="24"/>
          <w:lang w:val="en-US"/>
        </w:rPr>
        <w:t>拍卖人</w:t>
      </w:r>
      <w:r>
        <w:rPr>
          <w:rFonts w:hint="eastAsia"/>
          <w:sz w:val="24"/>
          <w:szCs w:val="24"/>
        </w:rPr>
        <w:t>当场与竞得人签订《中标</w:t>
      </w:r>
      <w:r>
        <w:rPr>
          <w:rFonts w:hint="eastAsia"/>
          <w:sz w:val="24"/>
          <w:szCs w:val="24"/>
          <w:lang w:val="en-US"/>
        </w:rPr>
        <w:t>成交</w:t>
      </w:r>
      <w:r>
        <w:rPr>
          <w:rFonts w:hint="eastAsia"/>
          <w:sz w:val="24"/>
          <w:szCs w:val="24"/>
        </w:rPr>
        <w:t>凭证》。如果竞得人拒绝签订《中标</w:t>
      </w:r>
      <w:r>
        <w:rPr>
          <w:rFonts w:hint="eastAsia"/>
          <w:sz w:val="24"/>
          <w:szCs w:val="24"/>
          <w:lang w:val="en-US"/>
        </w:rPr>
        <w:t>成交</w:t>
      </w:r>
      <w:r>
        <w:rPr>
          <w:rFonts w:hint="eastAsia"/>
          <w:sz w:val="24"/>
          <w:szCs w:val="24"/>
        </w:rPr>
        <w:t>凭证》的，</w:t>
      </w:r>
      <w:r>
        <w:rPr>
          <w:rFonts w:hint="eastAsia"/>
          <w:sz w:val="24"/>
          <w:szCs w:val="24"/>
          <w:lang w:val="en-US"/>
        </w:rPr>
        <w:t>出租人有权</w:t>
      </w:r>
      <w:r>
        <w:rPr>
          <w:rFonts w:hint="eastAsia"/>
          <w:sz w:val="24"/>
          <w:szCs w:val="24"/>
        </w:rPr>
        <w:t>视为竞得人放弃竞得资格，已缴交的竞投保证金将不予退回，出租人可将物业收回重新招租，出租人有权向竞得人追讨因此而造成一切损失和重新招租的费用，竞得人应承担相应法律责任。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赔偿金额按计算方式：按该标的物中标金额/30日*从本竞投公告公示之日起至本标的物再次招租成功并签订《租赁合同》（以签订《移交确认书》为准）之日期间的天数。</w:t>
      </w:r>
    </w:p>
    <w:p>
      <w:pPr>
        <w:adjustRightInd w:val="0"/>
        <w:snapToGrid w:val="0"/>
        <w:spacing w:line="360" w:lineRule="auto"/>
        <w:ind w:firstLine="480" w:firstLineChars="200"/>
        <w:jc w:val="both"/>
        <w:rPr>
          <w:sz w:val="24"/>
          <w:szCs w:val="24"/>
          <w:lang w:val="en-US"/>
        </w:rPr>
      </w:pPr>
      <w:r>
        <w:rPr>
          <w:rFonts w:hint="eastAsia"/>
          <w:sz w:val="24"/>
          <w:szCs w:val="24"/>
        </w:rPr>
        <w:t>（</w:t>
      </w:r>
      <w:r>
        <w:rPr>
          <w:rFonts w:hint="eastAsia"/>
          <w:sz w:val="24"/>
          <w:szCs w:val="24"/>
          <w:lang w:val="en-US"/>
        </w:rPr>
        <w:t>十二</w:t>
      </w:r>
      <w:r>
        <w:rPr>
          <w:rFonts w:hint="eastAsia"/>
          <w:sz w:val="24"/>
          <w:szCs w:val="24"/>
        </w:rPr>
        <w:t>）</w:t>
      </w:r>
      <w:r>
        <w:rPr>
          <w:rFonts w:hint="eastAsia"/>
          <w:sz w:val="24"/>
          <w:szCs w:val="24"/>
          <w:lang w:val="en-US"/>
        </w:rPr>
        <w:t>成交公告公示期：顺德拍卖行有限公司在竞投结束后，将成交结果在原交易信息发布渠道进行公告，公告时间为3个工作日（不含发布当天）。</w:t>
      </w:r>
    </w:p>
    <w:p>
      <w:pPr>
        <w:adjustRightInd w:val="0"/>
        <w:snapToGrid w:val="0"/>
        <w:spacing w:line="360" w:lineRule="auto"/>
        <w:ind w:firstLine="480" w:firstLineChars="200"/>
        <w:jc w:val="both"/>
        <w:rPr>
          <w:sz w:val="24"/>
          <w:szCs w:val="24"/>
          <w:lang w:val="en-US"/>
        </w:rPr>
      </w:pPr>
      <w:r>
        <w:rPr>
          <w:rFonts w:hint="eastAsia"/>
          <w:sz w:val="24"/>
          <w:szCs w:val="24"/>
        </w:rPr>
        <w:t>（</w:t>
      </w:r>
      <w:r>
        <w:rPr>
          <w:rFonts w:hint="eastAsia"/>
          <w:sz w:val="24"/>
          <w:szCs w:val="24"/>
          <w:lang w:val="en-US"/>
        </w:rPr>
        <w:t>十三</w:t>
      </w:r>
      <w:r>
        <w:rPr>
          <w:rFonts w:hint="eastAsia"/>
          <w:sz w:val="24"/>
          <w:szCs w:val="24"/>
        </w:rPr>
        <w:t>）</w:t>
      </w:r>
      <w:r>
        <w:rPr>
          <w:rFonts w:hint="eastAsia"/>
          <w:sz w:val="24"/>
          <w:szCs w:val="24"/>
          <w:lang w:val="en-US"/>
        </w:rPr>
        <w:t>成交公告公示期满后</w:t>
      </w:r>
      <w:r>
        <w:rPr>
          <w:rFonts w:hint="eastAsia"/>
          <w:sz w:val="24"/>
          <w:szCs w:val="24"/>
        </w:rPr>
        <w:t>5个工作日内，</w:t>
      </w:r>
      <w:r>
        <w:rPr>
          <w:rFonts w:hint="eastAsia"/>
          <w:sz w:val="24"/>
          <w:szCs w:val="24"/>
          <w:lang w:val="en-US"/>
        </w:rPr>
        <w:t>竞得人需按规定支付履约保证金及，</w:t>
      </w:r>
      <w:r>
        <w:rPr>
          <w:rFonts w:hint="eastAsia"/>
          <w:sz w:val="24"/>
          <w:szCs w:val="24"/>
        </w:rPr>
        <w:t>竞得人未能按时支付履约保证金</w:t>
      </w:r>
      <w:r>
        <w:rPr>
          <w:rFonts w:hint="eastAsia"/>
          <w:sz w:val="24"/>
          <w:szCs w:val="24"/>
          <w:lang w:val="en-US"/>
        </w:rPr>
        <w:t>的</w:t>
      </w:r>
      <w:r>
        <w:rPr>
          <w:rFonts w:hint="eastAsia"/>
          <w:sz w:val="24"/>
          <w:szCs w:val="24"/>
        </w:rPr>
        <w:t>，</w:t>
      </w:r>
      <w:r>
        <w:rPr>
          <w:rFonts w:hint="eastAsia"/>
          <w:sz w:val="24"/>
          <w:szCs w:val="24"/>
          <w:lang w:val="en-US"/>
        </w:rPr>
        <w:t>出租人有权</w:t>
      </w:r>
      <w:r>
        <w:rPr>
          <w:rFonts w:hint="eastAsia"/>
          <w:sz w:val="24"/>
          <w:szCs w:val="24"/>
        </w:rPr>
        <w:t>视为竞得人放弃竞得资格，已缴交的竞投保证金将不予退回，出租人可将物业收回重新招租，出租人有权向竞得人追讨因此而造成一切损失和重新招租的费用，竞得人应承担相应法律责任。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赔偿金额按计算方式：按该标的物中标金额/30日*从本竞投公告公示之日起至本标的物再次招租成功并签订《租赁合同》（以签订《移交确认书》为准）之日期间的天数。</w:t>
      </w:r>
    </w:p>
    <w:p>
      <w:pPr>
        <w:tabs>
          <w:tab w:val="left" w:pos="9356"/>
        </w:tabs>
        <w:adjustRightInd w:val="0"/>
        <w:snapToGrid w:val="0"/>
        <w:spacing w:line="360" w:lineRule="auto"/>
        <w:ind w:firstLine="480" w:firstLineChars="200"/>
        <w:jc w:val="both"/>
        <w:rPr>
          <w:sz w:val="24"/>
          <w:szCs w:val="24"/>
          <w:lang w:val="en-US"/>
        </w:rPr>
      </w:pPr>
      <w:r>
        <w:rPr>
          <w:rFonts w:hint="eastAsia"/>
          <w:sz w:val="24"/>
          <w:szCs w:val="24"/>
          <w:lang w:val="en-US"/>
        </w:rPr>
        <w:t>（十四）成交公告公示期满后5个工作日内，竞得人必须凭《中标成交凭证》、履约保证金缴款单原件及相关资料与出租人签订合同，如逾期不签订，出租人有权</w:t>
      </w:r>
      <w:r>
        <w:rPr>
          <w:rFonts w:hint="eastAsia"/>
          <w:sz w:val="24"/>
          <w:szCs w:val="24"/>
        </w:rPr>
        <w:t>视为竞得人放弃竞得资格</w:t>
      </w:r>
      <w:r>
        <w:rPr>
          <w:rFonts w:hint="eastAsia"/>
          <w:sz w:val="24"/>
          <w:szCs w:val="24"/>
          <w:lang w:val="en-US"/>
        </w:rPr>
        <w:t>，</w:t>
      </w:r>
      <w:r>
        <w:rPr>
          <w:rFonts w:hint="eastAsia"/>
          <w:sz w:val="24"/>
          <w:szCs w:val="24"/>
        </w:rPr>
        <w:t>已缴交的竞投保证金</w:t>
      </w:r>
      <w:r>
        <w:rPr>
          <w:rFonts w:hint="eastAsia"/>
          <w:sz w:val="24"/>
          <w:szCs w:val="24"/>
          <w:lang w:val="en-US"/>
        </w:rPr>
        <w:t>和履约保证金</w:t>
      </w:r>
      <w:r>
        <w:rPr>
          <w:rFonts w:hint="eastAsia"/>
          <w:sz w:val="24"/>
          <w:szCs w:val="24"/>
        </w:rPr>
        <w:t>将不予退回，出租人可将物业收回重新招租，出租人有权向竞得人追讨因此而造成一切损失和重新招租的费用，竞得人应承担相应法律责任。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赔偿金额按计算方式：按该标的物中标金额/30日*从本竞投公告公示之日起至本标的物再次招租成功并签订《租赁合同》（以签订《移交确认书》为准）之日期间的天数。</w:t>
      </w:r>
    </w:p>
    <w:p>
      <w:pPr>
        <w:adjustRightInd w:val="0"/>
        <w:snapToGrid w:val="0"/>
        <w:spacing w:line="360" w:lineRule="auto"/>
        <w:ind w:firstLine="480" w:firstLineChars="200"/>
        <w:jc w:val="both"/>
        <w:rPr>
          <w:sz w:val="24"/>
          <w:szCs w:val="24"/>
          <w:lang w:val="en-US"/>
        </w:rPr>
      </w:pPr>
      <w:r>
        <w:rPr>
          <w:rFonts w:hint="eastAsia"/>
          <w:sz w:val="24"/>
          <w:szCs w:val="24"/>
          <w:lang w:val="en-US"/>
        </w:rPr>
        <w:t>三、其他注意事项</w:t>
      </w:r>
    </w:p>
    <w:p>
      <w:pPr>
        <w:adjustRightInd w:val="0"/>
        <w:snapToGrid w:val="0"/>
        <w:spacing w:line="360" w:lineRule="auto"/>
        <w:ind w:firstLine="480" w:firstLineChars="200"/>
        <w:jc w:val="both"/>
        <w:rPr>
          <w:sz w:val="24"/>
          <w:szCs w:val="24"/>
        </w:rPr>
      </w:pPr>
      <w:r>
        <w:rPr>
          <w:rFonts w:hint="eastAsia"/>
          <w:sz w:val="24"/>
          <w:szCs w:val="24"/>
        </w:rPr>
        <w:t>竞投人参加本次竞投，表明该竞投人已明确知道以下事项：</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一</w:t>
      </w:r>
      <w:r>
        <w:rPr>
          <w:rFonts w:hint="eastAsia"/>
          <w:sz w:val="24"/>
          <w:szCs w:val="24"/>
        </w:rPr>
        <w:t>）竞投标的物存在投资风险；</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二</w:t>
      </w:r>
      <w:r>
        <w:rPr>
          <w:rFonts w:hint="eastAsia"/>
          <w:sz w:val="24"/>
          <w:szCs w:val="24"/>
        </w:rPr>
        <w:t>）竞投人接受该标的的现状及周边水电等市政配套设施的状况；</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三</w:t>
      </w:r>
      <w:r>
        <w:rPr>
          <w:rFonts w:hint="eastAsia"/>
          <w:sz w:val="24"/>
          <w:szCs w:val="24"/>
        </w:rPr>
        <w:t>）竞得人已对竞投标的物房产权属、位置、所处环境、面积等情况充分了解，并没有任何异议，竞得人不得以竞投标的物的权属或现状存在瑕疵向</w:t>
      </w:r>
      <w:r>
        <w:rPr>
          <w:rFonts w:hint="eastAsia"/>
          <w:sz w:val="24"/>
          <w:szCs w:val="24"/>
          <w:lang w:val="en-US"/>
        </w:rPr>
        <w:t>拍卖行</w:t>
      </w:r>
      <w:r>
        <w:rPr>
          <w:rFonts w:hint="eastAsia"/>
          <w:sz w:val="24"/>
          <w:szCs w:val="24"/>
        </w:rPr>
        <w:t>或佛山市顺德区容桂时光文旅产业有限公司提出索偿。</w:t>
      </w:r>
    </w:p>
    <w:p>
      <w:pPr>
        <w:adjustRightInd w:val="0"/>
        <w:snapToGrid w:val="0"/>
        <w:spacing w:line="360" w:lineRule="auto"/>
        <w:ind w:firstLine="480" w:firstLineChars="200"/>
        <w:jc w:val="both"/>
        <w:rPr>
          <w:sz w:val="24"/>
          <w:szCs w:val="24"/>
        </w:rPr>
      </w:pPr>
      <w:r>
        <w:rPr>
          <w:rFonts w:hint="eastAsia"/>
          <w:sz w:val="24"/>
          <w:szCs w:val="24"/>
        </w:rPr>
        <w:t>四、参加竞投会的所有人员应严格遵守《竞投会场须知》的规定，维持场内肃静，不得扰乱会场秩序，不得干涉他人竞投。</w:t>
      </w:r>
    </w:p>
    <w:p>
      <w:pPr>
        <w:adjustRightInd w:val="0"/>
        <w:snapToGrid w:val="0"/>
        <w:spacing w:line="360" w:lineRule="auto"/>
        <w:ind w:firstLine="480" w:firstLineChars="200"/>
        <w:jc w:val="both"/>
        <w:rPr>
          <w:sz w:val="24"/>
          <w:szCs w:val="24"/>
        </w:rPr>
      </w:pPr>
      <w:r>
        <w:rPr>
          <w:rFonts w:hint="eastAsia"/>
          <w:sz w:val="24"/>
          <w:szCs w:val="24"/>
          <w:lang w:val="en-US"/>
        </w:rPr>
        <w:t>五、</w:t>
      </w:r>
      <w:r>
        <w:rPr>
          <w:rFonts w:hint="eastAsia"/>
          <w:sz w:val="24"/>
          <w:szCs w:val="24"/>
        </w:rPr>
        <w:t>竞投人须于竞投会结束后将竞投号牌交还现场的工作人员。</w:t>
      </w:r>
    </w:p>
    <w:p>
      <w:pPr>
        <w:tabs>
          <w:tab w:val="left" w:pos="1260"/>
        </w:tabs>
        <w:adjustRightInd w:val="0"/>
        <w:snapToGrid w:val="0"/>
        <w:spacing w:line="360" w:lineRule="auto"/>
        <w:jc w:val="both"/>
        <w:rPr>
          <w:b/>
          <w:bCs/>
          <w:sz w:val="32"/>
          <w:szCs w:val="32"/>
        </w:rPr>
      </w:pPr>
      <w:bookmarkStart w:id="216" w:name="_Toc608_WPSOffice_Level2"/>
      <w:bookmarkStart w:id="217" w:name="_Toc22081_WPSOffice_Level1"/>
      <w:bookmarkStart w:id="218" w:name="_Toc7192_WPSOffice_Level2"/>
      <w:bookmarkStart w:id="219" w:name="_Toc28343_WPSOffice_Level2"/>
      <w:bookmarkStart w:id="220" w:name="_Toc6552_WPSOffice_Level2"/>
    </w:p>
    <w:p>
      <w:pPr>
        <w:pStyle w:val="3"/>
        <w:adjustRightInd w:val="0"/>
        <w:snapToGrid w:val="0"/>
        <w:spacing w:line="360" w:lineRule="auto"/>
        <w:rPr>
          <w:rFonts w:ascii="宋体" w:hAnsi="宋体" w:eastAsia="宋体" w:cs="宋体"/>
          <w:b w:val="0"/>
          <w:bCs w:val="0"/>
        </w:rPr>
      </w:pPr>
      <w:bookmarkStart w:id="221" w:name="_Toc23225"/>
      <w:bookmarkStart w:id="222" w:name="_Toc19659"/>
      <w:bookmarkStart w:id="223" w:name="_Toc30071"/>
      <w:bookmarkStart w:id="224" w:name="_Toc15259"/>
      <w:bookmarkStart w:id="225" w:name="_Toc13088"/>
      <w:bookmarkStart w:id="226" w:name="_Toc11197"/>
      <w:bookmarkStart w:id="227" w:name="_Toc25656124"/>
      <w:bookmarkStart w:id="228" w:name="_Toc4682"/>
      <w:bookmarkStart w:id="229" w:name="_Toc13361"/>
      <w:r>
        <w:rPr>
          <w:rFonts w:hint="eastAsia" w:ascii="宋体" w:hAnsi="宋体" w:eastAsia="宋体" w:cs="宋体"/>
          <w:b w:val="0"/>
          <w:bCs w:val="0"/>
        </w:rPr>
        <w:t>四、竞投会场须知</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adjustRightInd w:val="0"/>
        <w:snapToGrid w:val="0"/>
        <w:spacing w:line="360" w:lineRule="auto"/>
        <w:ind w:firstLine="480" w:firstLineChars="200"/>
        <w:jc w:val="both"/>
        <w:rPr>
          <w:sz w:val="24"/>
          <w:szCs w:val="24"/>
        </w:rPr>
      </w:pPr>
      <w:r>
        <w:rPr>
          <w:rFonts w:hint="eastAsia"/>
          <w:sz w:val="24"/>
          <w:szCs w:val="24"/>
        </w:rPr>
        <w:t>一、进入竞投会场内的人员应关闭手机或将手机铃声调制无声状态。</w:t>
      </w:r>
    </w:p>
    <w:p>
      <w:pPr>
        <w:adjustRightInd w:val="0"/>
        <w:snapToGrid w:val="0"/>
        <w:spacing w:line="360" w:lineRule="auto"/>
        <w:ind w:firstLine="480" w:firstLineChars="200"/>
        <w:jc w:val="both"/>
        <w:rPr>
          <w:sz w:val="24"/>
          <w:szCs w:val="24"/>
        </w:rPr>
      </w:pPr>
      <w:r>
        <w:rPr>
          <w:rFonts w:hint="eastAsia"/>
          <w:sz w:val="24"/>
          <w:szCs w:val="24"/>
        </w:rPr>
        <w:t>二、请参与竞投会的人员带备身份证原件，</w:t>
      </w:r>
      <w:r>
        <w:rPr>
          <w:rFonts w:hint="eastAsia"/>
          <w:sz w:val="24"/>
          <w:szCs w:val="24"/>
          <w:lang w:val="en-US"/>
        </w:rPr>
        <w:t>拍卖行</w:t>
      </w:r>
      <w:r>
        <w:rPr>
          <w:rFonts w:hint="eastAsia"/>
          <w:sz w:val="24"/>
          <w:szCs w:val="24"/>
        </w:rPr>
        <w:t>将对所有参与竞投会的人员进行实名登记。</w:t>
      </w:r>
    </w:p>
    <w:p>
      <w:pPr>
        <w:adjustRightInd w:val="0"/>
        <w:snapToGrid w:val="0"/>
        <w:spacing w:line="360" w:lineRule="auto"/>
        <w:ind w:firstLine="480" w:firstLineChars="200"/>
        <w:jc w:val="both"/>
        <w:rPr>
          <w:sz w:val="24"/>
          <w:szCs w:val="24"/>
        </w:rPr>
      </w:pPr>
      <w:r>
        <w:rPr>
          <w:rFonts w:hint="eastAsia"/>
          <w:sz w:val="24"/>
          <w:szCs w:val="24"/>
        </w:rPr>
        <w:t>三、参与竞投会的人员必须严格遵守会场秩序：</w:t>
      </w:r>
    </w:p>
    <w:p>
      <w:pPr>
        <w:adjustRightInd w:val="0"/>
        <w:snapToGrid w:val="0"/>
        <w:spacing w:line="360" w:lineRule="auto"/>
        <w:ind w:firstLine="480" w:firstLineChars="200"/>
        <w:jc w:val="both"/>
        <w:rPr>
          <w:sz w:val="24"/>
          <w:szCs w:val="24"/>
        </w:rPr>
      </w:pPr>
      <w:r>
        <w:rPr>
          <w:rFonts w:hint="eastAsia"/>
          <w:sz w:val="24"/>
          <w:szCs w:val="24"/>
        </w:rPr>
        <w:t>1、已到场的竞投人，应到工作人员安排的位置就座，不得随意在会场走动，进场后不得中途离场。</w:t>
      </w:r>
    </w:p>
    <w:p>
      <w:pPr>
        <w:adjustRightInd w:val="0"/>
        <w:snapToGrid w:val="0"/>
        <w:spacing w:line="360" w:lineRule="auto"/>
        <w:ind w:firstLine="480" w:firstLineChars="200"/>
        <w:jc w:val="both"/>
        <w:rPr>
          <w:sz w:val="24"/>
          <w:szCs w:val="24"/>
        </w:rPr>
      </w:pPr>
      <w:r>
        <w:rPr>
          <w:rFonts w:hint="eastAsia"/>
          <w:sz w:val="24"/>
          <w:szCs w:val="24"/>
        </w:rPr>
        <w:t>2、竞投人只能与一名随从人员（共 2 名人员）进入竞投席就座，</w:t>
      </w:r>
      <w:r>
        <w:rPr>
          <w:rFonts w:hint="eastAsia"/>
          <w:sz w:val="24"/>
          <w:szCs w:val="24"/>
          <w:lang w:val="en-US"/>
        </w:rPr>
        <w:t>拍卖行</w:t>
      </w:r>
      <w:r>
        <w:rPr>
          <w:rFonts w:hint="eastAsia"/>
          <w:sz w:val="24"/>
          <w:szCs w:val="24"/>
        </w:rPr>
        <w:t>工作人员将对其进行实名登记，其余观摩人员凭身份证进场，经登记后在观摩席上就座。</w:t>
      </w:r>
    </w:p>
    <w:p>
      <w:pPr>
        <w:adjustRightInd w:val="0"/>
        <w:snapToGrid w:val="0"/>
        <w:spacing w:line="360" w:lineRule="auto"/>
        <w:ind w:firstLine="480" w:firstLineChars="200"/>
        <w:jc w:val="both"/>
        <w:rPr>
          <w:sz w:val="24"/>
          <w:szCs w:val="24"/>
        </w:rPr>
      </w:pPr>
      <w:r>
        <w:rPr>
          <w:rFonts w:hint="eastAsia"/>
          <w:sz w:val="24"/>
          <w:szCs w:val="24"/>
        </w:rPr>
        <w:t>3、竞投人未在规定时间进入竞投会场的，不得在竞投会开始后强行进入竞投席参与竞投。</w:t>
      </w:r>
    </w:p>
    <w:p>
      <w:pPr>
        <w:adjustRightInd w:val="0"/>
        <w:snapToGrid w:val="0"/>
        <w:spacing w:line="360" w:lineRule="auto"/>
        <w:ind w:firstLine="480" w:firstLineChars="200"/>
        <w:jc w:val="both"/>
        <w:rPr>
          <w:sz w:val="24"/>
          <w:szCs w:val="24"/>
        </w:rPr>
      </w:pPr>
      <w:r>
        <w:rPr>
          <w:rFonts w:hint="eastAsia"/>
          <w:sz w:val="24"/>
          <w:szCs w:val="24"/>
        </w:rPr>
        <w:t>4、竞投会场上不得大声喧哗，竞投人之间不得相互交流或商讨本项目竞价的有关事宜，观摩席人员不得进入到竞投席或主持人及工作人员前台，干扰竞投。</w:t>
      </w:r>
    </w:p>
    <w:p>
      <w:pPr>
        <w:adjustRightInd w:val="0"/>
        <w:snapToGrid w:val="0"/>
        <w:spacing w:line="360" w:lineRule="auto"/>
        <w:ind w:firstLine="480" w:firstLineChars="200"/>
        <w:jc w:val="both"/>
        <w:rPr>
          <w:sz w:val="24"/>
          <w:szCs w:val="24"/>
        </w:rPr>
      </w:pPr>
      <w:r>
        <w:rPr>
          <w:rFonts w:hint="eastAsia"/>
          <w:sz w:val="24"/>
          <w:szCs w:val="24"/>
        </w:rPr>
        <w:t>5、竞投人在竞投会结束前请不要离开会场。</w:t>
      </w:r>
    </w:p>
    <w:p>
      <w:pPr>
        <w:adjustRightInd w:val="0"/>
        <w:snapToGrid w:val="0"/>
        <w:spacing w:line="360" w:lineRule="auto"/>
        <w:ind w:firstLine="480" w:firstLineChars="200"/>
        <w:jc w:val="both"/>
        <w:rPr>
          <w:sz w:val="24"/>
          <w:szCs w:val="24"/>
        </w:rPr>
      </w:pPr>
      <w:r>
        <w:rPr>
          <w:rFonts w:hint="eastAsia"/>
          <w:sz w:val="24"/>
          <w:szCs w:val="24"/>
        </w:rPr>
        <w:t>四、参与竞投人有下述违法违规行为的，取消竞得资格，没收竞投保证金，给出租人造成损失的，依法承担赔偿责任，出租人将保留追讨其法律责任的权利。</w:t>
      </w:r>
    </w:p>
    <w:p>
      <w:pPr>
        <w:adjustRightInd w:val="0"/>
        <w:snapToGrid w:val="0"/>
        <w:spacing w:line="360" w:lineRule="auto"/>
        <w:ind w:firstLine="480" w:firstLineChars="200"/>
        <w:jc w:val="both"/>
        <w:rPr>
          <w:sz w:val="24"/>
          <w:szCs w:val="24"/>
        </w:rPr>
      </w:pPr>
      <w:r>
        <w:rPr>
          <w:rFonts w:hint="eastAsia"/>
          <w:sz w:val="24"/>
          <w:szCs w:val="24"/>
        </w:rPr>
        <w:t>1、相互串通谋取竞得资格（即串标围标行为）；</w:t>
      </w:r>
    </w:p>
    <w:p>
      <w:pPr>
        <w:adjustRightInd w:val="0"/>
        <w:snapToGrid w:val="0"/>
        <w:spacing w:line="360" w:lineRule="auto"/>
        <w:ind w:firstLine="480" w:firstLineChars="200"/>
        <w:jc w:val="both"/>
        <w:rPr>
          <w:sz w:val="24"/>
          <w:szCs w:val="24"/>
        </w:rPr>
      </w:pPr>
      <w:r>
        <w:rPr>
          <w:rFonts w:hint="eastAsia"/>
          <w:sz w:val="24"/>
          <w:szCs w:val="24"/>
        </w:rPr>
        <w:t>2、以他人名义参加竞投或者以其他方式弄虚作假，骗取竞得资格；</w:t>
      </w:r>
    </w:p>
    <w:p>
      <w:pPr>
        <w:adjustRightInd w:val="0"/>
        <w:snapToGrid w:val="0"/>
        <w:spacing w:line="360" w:lineRule="auto"/>
        <w:ind w:firstLine="480" w:firstLineChars="200"/>
        <w:jc w:val="both"/>
        <w:rPr>
          <w:sz w:val="24"/>
          <w:szCs w:val="24"/>
        </w:rPr>
      </w:pPr>
      <w:r>
        <w:rPr>
          <w:rFonts w:hint="eastAsia"/>
          <w:sz w:val="24"/>
          <w:szCs w:val="24"/>
        </w:rPr>
        <w:t>3、无正当理由放弃竞得资格。</w:t>
      </w:r>
    </w:p>
    <w:p>
      <w:pPr>
        <w:adjustRightInd w:val="0"/>
        <w:snapToGrid w:val="0"/>
        <w:spacing w:line="360" w:lineRule="auto"/>
        <w:ind w:firstLine="480" w:firstLineChars="200"/>
        <w:jc w:val="both"/>
        <w:rPr>
          <w:sz w:val="24"/>
          <w:szCs w:val="24"/>
        </w:rPr>
      </w:pPr>
      <w:r>
        <w:rPr>
          <w:rFonts w:hint="eastAsia"/>
          <w:sz w:val="24"/>
          <w:szCs w:val="24"/>
          <w:lang w:val="en-US"/>
        </w:rPr>
        <w:t>五、</w:t>
      </w:r>
      <w:r>
        <w:rPr>
          <w:rFonts w:hint="eastAsia"/>
          <w:sz w:val="24"/>
          <w:szCs w:val="24"/>
        </w:rPr>
        <w:t>参与竞投会的人员有违反以上规定、干扰竞投会进行、不听劝阻的，</w:t>
      </w:r>
      <w:r>
        <w:rPr>
          <w:rFonts w:hint="eastAsia"/>
          <w:sz w:val="24"/>
          <w:szCs w:val="24"/>
          <w:lang w:val="en-US"/>
        </w:rPr>
        <w:t>拍卖人</w:t>
      </w:r>
      <w:r>
        <w:rPr>
          <w:rFonts w:hint="eastAsia"/>
          <w:sz w:val="24"/>
          <w:szCs w:val="24"/>
        </w:rPr>
        <w:t>将取消其竞投资格（或观看竞投会资格），并将其逐出竞投会场。</w:t>
      </w:r>
    </w:p>
    <w:p>
      <w:pPr>
        <w:adjustRightInd w:val="0"/>
        <w:snapToGrid w:val="0"/>
        <w:spacing w:line="360" w:lineRule="auto"/>
        <w:ind w:firstLine="440" w:firstLineChars="200"/>
        <w:jc w:val="both"/>
        <w:sectPr>
          <w:footerReference r:id="rId4" w:type="default"/>
          <w:pgSz w:w="11910" w:h="16840"/>
          <w:pgMar w:top="1134" w:right="853" w:bottom="1134" w:left="1417" w:header="0" w:footer="420" w:gutter="0"/>
          <w:cols w:space="720" w:num="1"/>
        </w:sectPr>
      </w:pPr>
    </w:p>
    <w:p>
      <w:pPr>
        <w:pStyle w:val="3"/>
        <w:adjustRightInd w:val="0"/>
        <w:snapToGrid w:val="0"/>
        <w:spacing w:line="360" w:lineRule="auto"/>
        <w:rPr>
          <w:rFonts w:ascii="宋体" w:hAnsi="宋体" w:eastAsia="宋体" w:cs="宋体"/>
        </w:rPr>
      </w:pPr>
      <w:bookmarkStart w:id="230" w:name="_Toc5145"/>
      <w:bookmarkStart w:id="231" w:name="_Toc17097"/>
      <w:bookmarkStart w:id="232" w:name="_Toc2113"/>
      <w:bookmarkStart w:id="233" w:name="_Toc7148"/>
      <w:bookmarkStart w:id="234" w:name="_Toc4878"/>
      <w:bookmarkStart w:id="235" w:name="_Toc8290"/>
      <w:bookmarkStart w:id="236" w:name="_Toc12954"/>
      <w:bookmarkStart w:id="237" w:name="_Toc2485"/>
      <w:bookmarkStart w:id="238" w:name="_Toc25656125"/>
      <w:bookmarkStart w:id="239" w:name="_Toc12446_WPSOffice_Level2"/>
      <w:bookmarkStart w:id="240" w:name="_Toc31888_WPSOffice_Level2"/>
      <w:bookmarkStart w:id="241" w:name="_Toc13140_WPSOffice_Level2"/>
      <w:bookmarkStart w:id="242" w:name="_Toc20841_WPSOffice_Level1"/>
      <w:bookmarkStart w:id="243" w:name="_Toc8592_WPSOffice_Level2"/>
      <w:r>
        <w:rPr>
          <w:rFonts w:hint="eastAsia" w:ascii="宋体" w:hAnsi="宋体" w:eastAsia="宋体" w:cs="宋体"/>
        </w:rPr>
        <w:t>五、附件资格文件格式</w:t>
      </w:r>
      <w:bookmarkEnd w:id="230"/>
      <w:bookmarkEnd w:id="231"/>
      <w:bookmarkEnd w:id="232"/>
      <w:bookmarkEnd w:id="233"/>
      <w:bookmarkEnd w:id="234"/>
      <w:bookmarkEnd w:id="235"/>
      <w:bookmarkEnd w:id="236"/>
      <w:bookmarkEnd w:id="237"/>
    </w:p>
    <w:p>
      <w:pPr>
        <w:pStyle w:val="3"/>
        <w:tabs>
          <w:tab w:val="left" w:pos="7513"/>
        </w:tabs>
        <w:adjustRightInd w:val="0"/>
        <w:snapToGrid w:val="0"/>
        <w:spacing w:line="360" w:lineRule="auto"/>
        <w:ind w:left="0" w:right="0"/>
        <w:jc w:val="left"/>
        <w:rPr>
          <w:rFonts w:ascii="宋体" w:hAnsi="宋体" w:eastAsia="宋体" w:cs="宋体"/>
          <w:sz w:val="24"/>
          <w:szCs w:val="24"/>
        </w:rPr>
      </w:pPr>
      <w:bookmarkStart w:id="244" w:name="_Toc25973"/>
      <w:bookmarkStart w:id="245" w:name="_Toc15580"/>
      <w:bookmarkStart w:id="246" w:name="_Toc32695"/>
      <w:bookmarkStart w:id="247" w:name="_Toc32295"/>
      <w:bookmarkStart w:id="248" w:name="_Toc11631"/>
      <w:bookmarkStart w:id="249" w:name="_Toc10960"/>
      <w:bookmarkStart w:id="250" w:name="_Toc16155"/>
      <w:bookmarkStart w:id="251" w:name="_Toc18243"/>
      <w:r>
        <w:rPr>
          <w:rFonts w:hint="eastAsia" w:ascii="宋体" w:hAnsi="宋体" w:eastAsia="宋体" w:cs="宋体"/>
          <w:sz w:val="24"/>
          <w:szCs w:val="24"/>
        </w:rPr>
        <w:t>（竞投人在交纳</w:t>
      </w:r>
      <w:r>
        <w:rPr>
          <w:rFonts w:hint="eastAsia" w:ascii="宋体" w:hAnsi="宋体" w:eastAsia="宋体" w:cs="宋体"/>
          <w:sz w:val="24"/>
          <w:szCs w:val="24"/>
          <w:lang w:val="en-US"/>
        </w:rPr>
        <w:t>竞投</w:t>
      </w:r>
      <w:r>
        <w:rPr>
          <w:rFonts w:hint="eastAsia" w:ascii="宋体" w:hAnsi="宋体" w:eastAsia="宋体" w:cs="宋体"/>
          <w:sz w:val="24"/>
          <w:szCs w:val="24"/>
        </w:rPr>
        <w:t>保证金后根据实际所需提供下列1-</w:t>
      </w:r>
      <w:r>
        <w:rPr>
          <w:rFonts w:hint="eastAsia" w:ascii="宋体" w:hAnsi="宋体" w:eastAsia="宋体" w:cs="宋体"/>
          <w:sz w:val="24"/>
          <w:szCs w:val="24"/>
          <w:lang w:val="en-US"/>
        </w:rPr>
        <w:t>6</w:t>
      </w:r>
      <w:r>
        <w:rPr>
          <w:rFonts w:hint="eastAsia" w:ascii="宋体" w:hAnsi="宋体" w:eastAsia="宋体" w:cs="宋体"/>
          <w:sz w:val="24"/>
          <w:szCs w:val="24"/>
        </w:rPr>
        <w:t>项资料，如对填写、制作资料不明白的，可联系提前拍卖行工作人员协助，资料递交时间为：</w:t>
      </w:r>
      <w:r>
        <w:rPr>
          <w:rFonts w:hint="eastAsia" w:ascii="宋体" w:hAnsi="宋体" w:eastAsia="宋体" w:cs="宋体"/>
          <w:sz w:val="24"/>
          <w:szCs w:val="24"/>
          <w:lang w:val="en-US"/>
        </w:rPr>
        <w:t xml:space="preserve">   </w:t>
      </w:r>
      <w:r>
        <w:rPr>
          <w:rFonts w:ascii="宋体" w:hAnsi="宋体" w:eastAsia="宋体" w:cs="宋体"/>
          <w:sz w:val="24"/>
          <w:szCs w:val="24"/>
          <w:u w:val="single"/>
          <w:lang w:val="en-US"/>
        </w:rPr>
        <w:t xml:space="preserve">2023 </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30</w:t>
      </w:r>
      <w:bookmarkStart w:id="327" w:name="_GoBack"/>
      <w:bookmarkEnd w:id="327"/>
      <w:r>
        <w:rPr>
          <w:rFonts w:hint="eastAsia" w:ascii="宋体" w:hAnsi="宋体" w:eastAsia="宋体" w:cs="宋体"/>
          <w:sz w:val="24"/>
          <w:szCs w:val="24"/>
          <w:u w:val="single"/>
        </w:rPr>
        <w:t>日</w:t>
      </w:r>
      <w:r>
        <w:rPr>
          <w:rFonts w:ascii="宋体" w:hAnsi="宋体" w:eastAsia="宋体" w:cs="宋体"/>
          <w:sz w:val="24"/>
          <w:szCs w:val="24"/>
          <w:u w:val="single"/>
        </w:rPr>
        <w:t>13:30-15:</w:t>
      </w:r>
      <w:r>
        <w:rPr>
          <w:rFonts w:ascii="宋体" w:hAnsi="宋体" w:eastAsia="宋体" w:cs="宋体"/>
          <w:sz w:val="24"/>
          <w:szCs w:val="24"/>
          <w:u w:val="single"/>
          <w:lang w:val="en-US"/>
        </w:rPr>
        <w:t>0</w:t>
      </w:r>
      <w:r>
        <w:rPr>
          <w:rFonts w:ascii="宋体" w:hAnsi="宋体" w:eastAsia="宋体" w:cs="宋体"/>
          <w:sz w:val="24"/>
          <w:szCs w:val="24"/>
          <w:u w:val="single"/>
        </w:rPr>
        <w:t>0</w:t>
      </w:r>
      <w:r>
        <w:rPr>
          <w:rFonts w:hint="eastAsia" w:ascii="宋体" w:hAnsi="宋体" w:eastAsia="宋体" w:cs="宋体"/>
          <w:sz w:val="24"/>
          <w:szCs w:val="24"/>
        </w:rPr>
        <w:t>，过时不再接收）</w:t>
      </w:r>
      <w:bookmarkEnd w:id="238"/>
      <w:bookmarkEnd w:id="244"/>
      <w:bookmarkEnd w:id="245"/>
      <w:bookmarkEnd w:id="246"/>
      <w:bookmarkEnd w:id="247"/>
      <w:bookmarkEnd w:id="248"/>
      <w:bookmarkEnd w:id="249"/>
      <w:bookmarkEnd w:id="250"/>
      <w:bookmarkEnd w:id="251"/>
    </w:p>
    <w:p>
      <w:pPr>
        <w:adjustRightInd w:val="0"/>
        <w:snapToGrid w:val="0"/>
        <w:spacing w:line="360" w:lineRule="auto"/>
        <w:jc w:val="center"/>
        <w:rPr>
          <w:b/>
          <w:sz w:val="17"/>
        </w:rPr>
      </w:pPr>
      <w:r>
        <w:rPr>
          <w:rFonts w:hint="eastAsia"/>
          <w:b/>
          <w:bCs/>
          <w:sz w:val="28"/>
          <w:szCs w:val="28"/>
        </w:rPr>
        <w:t>1.竞投申请书</w:t>
      </w:r>
      <w:bookmarkEnd w:id="239"/>
      <w:bookmarkEnd w:id="240"/>
      <w:bookmarkEnd w:id="241"/>
      <w:bookmarkEnd w:id="242"/>
      <w:bookmarkEnd w:id="243"/>
    </w:p>
    <w:tbl>
      <w:tblPr>
        <w:tblStyle w:val="21"/>
        <w:tblW w:w="96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1"/>
        <w:gridCol w:w="3773"/>
        <w:gridCol w:w="2325"/>
        <w:gridCol w:w="2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281" w:type="dxa"/>
            <w:noWrap/>
            <w:vAlign w:val="center"/>
          </w:tcPr>
          <w:p>
            <w:pPr>
              <w:adjustRightInd w:val="0"/>
              <w:snapToGrid w:val="0"/>
              <w:spacing w:line="360" w:lineRule="auto"/>
              <w:jc w:val="both"/>
              <w:rPr>
                <w:sz w:val="24"/>
                <w:szCs w:val="24"/>
              </w:rPr>
            </w:pPr>
            <w:r>
              <w:rPr>
                <w:rFonts w:hint="eastAsia"/>
                <w:sz w:val="24"/>
                <w:szCs w:val="24"/>
              </w:rPr>
              <w:t>竞投人</w:t>
            </w:r>
          </w:p>
        </w:tc>
        <w:tc>
          <w:tcPr>
            <w:tcW w:w="8398" w:type="dxa"/>
            <w:gridSpan w:val="3"/>
            <w:noWrap/>
            <w:vAlign w:val="center"/>
          </w:tcPr>
          <w:p>
            <w:pPr>
              <w:adjustRightInd w:val="0"/>
              <w:snapToGrid w:val="0"/>
              <w:spacing w:line="360" w:lineRule="auto"/>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281" w:type="dxa"/>
            <w:noWrap/>
            <w:vAlign w:val="center"/>
          </w:tcPr>
          <w:p>
            <w:pPr>
              <w:adjustRightInd w:val="0"/>
              <w:snapToGrid w:val="0"/>
              <w:spacing w:line="360" w:lineRule="auto"/>
              <w:jc w:val="both"/>
              <w:rPr>
                <w:sz w:val="24"/>
                <w:szCs w:val="24"/>
              </w:rPr>
            </w:pPr>
            <w:r>
              <w:rPr>
                <w:rFonts w:hint="eastAsia"/>
                <w:sz w:val="24"/>
                <w:szCs w:val="24"/>
              </w:rPr>
              <w:t>法人代表</w:t>
            </w:r>
          </w:p>
        </w:tc>
        <w:tc>
          <w:tcPr>
            <w:tcW w:w="3773" w:type="dxa"/>
            <w:noWrap/>
            <w:vAlign w:val="center"/>
          </w:tcPr>
          <w:p>
            <w:pPr>
              <w:adjustRightInd w:val="0"/>
              <w:snapToGrid w:val="0"/>
              <w:spacing w:line="360" w:lineRule="auto"/>
              <w:jc w:val="both"/>
              <w:rPr>
                <w:sz w:val="24"/>
                <w:szCs w:val="24"/>
              </w:rPr>
            </w:pPr>
          </w:p>
        </w:tc>
        <w:tc>
          <w:tcPr>
            <w:tcW w:w="2325" w:type="dxa"/>
            <w:noWrap/>
            <w:vAlign w:val="center"/>
          </w:tcPr>
          <w:p>
            <w:pPr>
              <w:adjustRightInd w:val="0"/>
              <w:snapToGrid w:val="0"/>
              <w:spacing w:line="360" w:lineRule="auto"/>
              <w:jc w:val="both"/>
              <w:rPr>
                <w:sz w:val="24"/>
                <w:szCs w:val="24"/>
              </w:rPr>
            </w:pPr>
            <w:r>
              <w:rPr>
                <w:rFonts w:hint="eastAsia"/>
                <w:sz w:val="24"/>
                <w:szCs w:val="24"/>
              </w:rPr>
              <w:t>身份证号码</w:t>
            </w:r>
          </w:p>
        </w:tc>
        <w:tc>
          <w:tcPr>
            <w:tcW w:w="2300" w:type="dxa"/>
            <w:noWrap/>
            <w:vAlign w:val="center"/>
          </w:tcPr>
          <w:p>
            <w:pPr>
              <w:adjustRightInd w:val="0"/>
              <w:snapToGrid w:val="0"/>
              <w:spacing w:line="360" w:lineRule="auto"/>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281" w:type="dxa"/>
            <w:noWrap/>
            <w:vAlign w:val="center"/>
          </w:tcPr>
          <w:p>
            <w:pPr>
              <w:adjustRightInd w:val="0"/>
              <w:snapToGrid w:val="0"/>
              <w:spacing w:line="360" w:lineRule="auto"/>
              <w:jc w:val="both"/>
              <w:rPr>
                <w:sz w:val="24"/>
                <w:szCs w:val="24"/>
              </w:rPr>
            </w:pPr>
            <w:r>
              <w:rPr>
                <w:rFonts w:hint="eastAsia"/>
                <w:sz w:val="24"/>
                <w:szCs w:val="24"/>
              </w:rPr>
              <w:t>联系电话</w:t>
            </w:r>
          </w:p>
        </w:tc>
        <w:tc>
          <w:tcPr>
            <w:tcW w:w="3773" w:type="dxa"/>
            <w:noWrap/>
            <w:vAlign w:val="center"/>
          </w:tcPr>
          <w:p>
            <w:pPr>
              <w:adjustRightInd w:val="0"/>
              <w:snapToGrid w:val="0"/>
              <w:spacing w:line="360" w:lineRule="auto"/>
              <w:jc w:val="both"/>
              <w:rPr>
                <w:sz w:val="24"/>
                <w:szCs w:val="24"/>
              </w:rPr>
            </w:pPr>
            <w:r>
              <w:rPr>
                <w:sz w:val="24"/>
                <w:szCs w:val="24"/>
              </w:rPr>
              <w:t xml:space="preserve">  </w:t>
            </w:r>
          </w:p>
        </w:tc>
        <w:tc>
          <w:tcPr>
            <w:tcW w:w="2325" w:type="dxa"/>
            <w:noWrap/>
            <w:vAlign w:val="center"/>
          </w:tcPr>
          <w:p>
            <w:pPr>
              <w:adjustRightInd w:val="0"/>
              <w:snapToGrid w:val="0"/>
              <w:spacing w:line="360" w:lineRule="auto"/>
              <w:jc w:val="both"/>
              <w:rPr>
                <w:sz w:val="24"/>
                <w:szCs w:val="24"/>
              </w:rPr>
            </w:pPr>
            <w:r>
              <w:rPr>
                <w:rFonts w:hint="eastAsia"/>
                <w:sz w:val="24"/>
                <w:szCs w:val="24"/>
              </w:rPr>
              <w:t>邮政编码</w:t>
            </w:r>
          </w:p>
        </w:tc>
        <w:tc>
          <w:tcPr>
            <w:tcW w:w="2300" w:type="dxa"/>
            <w:noWrap/>
            <w:vAlign w:val="center"/>
          </w:tcPr>
          <w:p>
            <w:pPr>
              <w:adjustRightInd w:val="0"/>
              <w:snapToGrid w:val="0"/>
              <w:spacing w:line="360" w:lineRule="auto"/>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281" w:type="dxa"/>
            <w:noWrap/>
            <w:vAlign w:val="center"/>
          </w:tcPr>
          <w:p>
            <w:pPr>
              <w:adjustRightInd w:val="0"/>
              <w:snapToGrid w:val="0"/>
              <w:spacing w:line="360" w:lineRule="auto"/>
              <w:jc w:val="both"/>
              <w:rPr>
                <w:sz w:val="24"/>
                <w:szCs w:val="24"/>
              </w:rPr>
            </w:pPr>
            <w:r>
              <w:rPr>
                <w:rFonts w:hint="eastAsia"/>
                <w:sz w:val="24"/>
                <w:szCs w:val="24"/>
              </w:rPr>
              <w:t>通讯地址</w:t>
            </w:r>
          </w:p>
        </w:tc>
        <w:tc>
          <w:tcPr>
            <w:tcW w:w="8398" w:type="dxa"/>
            <w:gridSpan w:val="3"/>
            <w:noWrap/>
            <w:vAlign w:val="center"/>
          </w:tcPr>
          <w:p>
            <w:pPr>
              <w:adjustRightInd w:val="0"/>
              <w:snapToGrid w:val="0"/>
              <w:spacing w:line="360" w:lineRule="auto"/>
              <w:jc w:val="both"/>
              <w:rPr>
                <w:sz w:val="24"/>
                <w:szCs w:val="24"/>
              </w:rPr>
            </w:pPr>
            <w:r>
              <w:rPr>
                <w:rFonts w:hint="eastAsia"/>
                <w:sz w:val="24"/>
                <w:szCs w:val="24"/>
              </w:rPr>
              <w:t>顺德容桂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1281" w:type="dxa"/>
            <w:noWrap/>
            <w:vAlign w:val="center"/>
          </w:tcPr>
          <w:p>
            <w:pPr>
              <w:adjustRightInd w:val="0"/>
              <w:snapToGrid w:val="0"/>
              <w:spacing w:line="360" w:lineRule="auto"/>
              <w:jc w:val="both"/>
              <w:rPr>
                <w:sz w:val="24"/>
                <w:szCs w:val="24"/>
              </w:rPr>
            </w:pPr>
            <w:r>
              <w:rPr>
                <w:rFonts w:hint="eastAsia"/>
                <w:sz w:val="24"/>
                <w:szCs w:val="24"/>
              </w:rPr>
              <w:t>竞投标的</w:t>
            </w:r>
          </w:p>
        </w:tc>
        <w:tc>
          <w:tcPr>
            <w:tcW w:w="8398" w:type="dxa"/>
            <w:gridSpan w:val="3"/>
            <w:noWrap/>
            <w:vAlign w:val="center"/>
          </w:tcPr>
          <w:p>
            <w:pPr>
              <w:adjustRightInd w:val="0"/>
              <w:snapToGrid w:val="0"/>
              <w:spacing w:line="360" w:lineRule="auto"/>
              <w:jc w:val="both"/>
              <w:rPr>
                <w:sz w:val="24"/>
                <w:szCs w:val="24"/>
              </w:rPr>
            </w:pPr>
            <w:r>
              <w:rPr>
                <w:rFonts w:hint="eastAsia"/>
                <w:sz w:val="24"/>
                <w:szCs w:val="24"/>
                <w:u w:val="single"/>
                <w:lang w:val="en-US"/>
              </w:rPr>
              <w:t>容桂街道小黄圃社区眉蕉河沿岸、科龙职中以南地块一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281" w:type="dxa"/>
            <w:noWrap/>
            <w:vAlign w:val="center"/>
          </w:tcPr>
          <w:p>
            <w:pPr>
              <w:adjustRightInd w:val="0"/>
              <w:snapToGrid w:val="0"/>
              <w:spacing w:line="360" w:lineRule="auto"/>
              <w:jc w:val="both"/>
              <w:rPr>
                <w:sz w:val="24"/>
                <w:szCs w:val="24"/>
              </w:rPr>
            </w:pPr>
            <w:r>
              <w:rPr>
                <w:rFonts w:hint="eastAsia"/>
                <w:sz w:val="24"/>
                <w:szCs w:val="24"/>
              </w:rPr>
              <w:t>竞投保证金</w:t>
            </w:r>
          </w:p>
        </w:tc>
        <w:tc>
          <w:tcPr>
            <w:tcW w:w="8398" w:type="dxa"/>
            <w:gridSpan w:val="3"/>
            <w:noWrap/>
            <w:vAlign w:val="center"/>
          </w:tcPr>
          <w:p>
            <w:pPr>
              <w:adjustRightInd w:val="0"/>
              <w:snapToGrid w:val="0"/>
              <w:spacing w:line="360" w:lineRule="auto"/>
              <w:jc w:val="both"/>
              <w:rPr>
                <w:rFonts w:ascii="Malgun Gothic" w:hAnsi="Malgun Gothic" w:eastAsia="Malgun Gothic"/>
                <w:iCs/>
                <w:sz w:val="24"/>
                <w:szCs w:val="24"/>
                <w:u w:val="single"/>
              </w:rPr>
            </w:pPr>
            <w:r>
              <w:rPr>
                <w:rFonts w:hint="eastAsia"/>
                <w:sz w:val="24"/>
                <w:szCs w:val="24"/>
              </w:rPr>
              <w:t>金</w:t>
            </w:r>
            <w:r>
              <w:rPr>
                <w:sz w:val="24"/>
                <w:szCs w:val="24"/>
              </w:rPr>
              <w:t xml:space="preserve"> </w:t>
            </w:r>
            <w:r>
              <w:rPr>
                <w:rFonts w:hint="eastAsia"/>
                <w:sz w:val="24"/>
                <w:szCs w:val="24"/>
              </w:rPr>
              <w:t>额：人民币</w:t>
            </w:r>
            <w:r>
              <w:rPr>
                <w:rFonts w:hint="eastAsia"/>
                <w:sz w:val="24"/>
                <w:szCs w:val="24"/>
                <w:u w:val="single"/>
                <w:lang w:val="en-US"/>
              </w:rPr>
              <w:t xml:space="preserve">  伍拾壹万零贰佰叁拾贰元陆角伍分</w:t>
            </w:r>
            <w:r>
              <w:rPr>
                <w:rFonts w:hint="eastAsia"/>
                <w:sz w:val="24"/>
                <w:szCs w:val="24"/>
              </w:rPr>
              <w:t>（小写：¥</w:t>
            </w:r>
            <w:r>
              <w:rPr>
                <w:sz w:val="24"/>
                <w:szCs w:val="24"/>
                <w:u w:val="single"/>
                <w:lang w:val="en-US"/>
              </w:rPr>
              <w:t xml:space="preserve"> 510232.65</w:t>
            </w:r>
            <w:r>
              <w:rPr>
                <w:rFonts w:hint="eastAsia"/>
                <w:sz w:val="24"/>
                <w:szCs w:val="24"/>
                <w:u w:val="single"/>
                <w:lang w:val="en-US"/>
              </w:rPr>
              <w:t xml:space="preserve">     </w:t>
            </w:r>
            <w:r>
              <w:rPr>
                <w:rFonts w:hint="eastAsia"/>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7" w:hRule="atLeast"/>
        </w:trPr>
        <w:tc>
          <w:tcPr>
            <w:tcW w:w="1281" w:type="dxa"/>
            <w:noWrap/>
            <w:vAlign w:val="center"/>
          </w:tcPr>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lang w:val="en-US"/>
              </w:rPr>
            </w:pPr>
            <w:r>
              <w:rPr>
                <w:rFonts w:hint="eastAsia"/>
                <w:b/>
                <w:sz w:val="21"/>
                <w:szCs w:val="21"/>
                <w:lang w:val="en-US"/>
              </w:rPr>
              <w:t>竞投承诺</w:t>
            </w: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sz w:val="21"/>
                <w:szCs w:val="21"/>
              </w:rPr>
            </w:pPr>
          </w:p>
        </w:tc>
        <w:tc>
          <w:tcPr>
            <w:tcW w:w="8398" w:type="dxa"/>
            <w:gridSpan w:val="3"/>
            <w:noWrap/>
            <w:vAlign w:val="center"/>
          </w:tcPr>
          <w:p>
            <w:pPr>
              <w:adjustRightInd w:val="0"/>
              <w:snapToGrid w:val="0"/>
              <w:spacing w:line="360" w:lineRule="auto"/>
              <w:jc w:val="both"/>
              <w:rPr>
                <w:b/>
                <w:sz w:val="21"/>
                <w:szCs w:val="21"/>
              </w:rPr>
            </w:pPr>
          </w:p>
          <w:p>
            <w:pPr>
              <w:adjustRightInd w:val="0"/>
              <w:snapToGrid w:val="0"/>
              <w:spacing w:line="360" w:lineRule="auto"/>
              <w:jc w:val="both"/>
              <w:rPr>
                <w:sz w:val="21"/>
                <w:szCs w:val="21"/>
              </w:rPr>
            </w:pPr>
            <w:r>
              <w:rPr>
                <w:rFonts w:hint="eastAsia"/>
                <w:sz w:val="21"/>
                <w:szCs w:val="21"/>
              </w:rPr>
              <w:t>一、承诺已对竞投标的物房产权属、位置、所处环境、面积等情况充分了解，并且实地勘查并认真审阅“ 容时公【2023】20231107号”公开招租文件，现申请竞投该文件的标的，即对标的物现状、交易条件、公开招租文件内容无异议，并全面接受其中的任何条款及受其约束。</w:t>
            </w:r>
          </w:p>
          <w:p>
            <w:pPr>
              <w:adjustRightInd w:val="0"/>
              <w:snapToGrid w:val="0"/>
              <w:spacing w:line="360" w:lineRule="auto"/>
              <w:jc w:val="both"/>
              <w:rPr>
                <w:sz w:val="21"/>
                <w:szCs w:val="21"/>
              </w:rPr>
            </w:pPr>
            <w:r>
              <w:rPr>
                <w:rFonts w:hint="eastAsia"/>
                <w:sz w:val="21"/>
                <w:szCs w:val="21"/>
              </w:rPr>
              <w:t>二、承诺对申请竞投所提交的资料文件的真实性负责，如资料失实，愿承担由此引起的经济、法律责任。如被认定提交的资料或提交时间不符合公开招租文件要求，不能参与现场竞投时，保证自动离开竞投会场。</w:t>
            </w:r>
          </w:p>
          <w:p>
            <w:pPr>
              <w:adjustRightInd w:val="0"/>
              <w:snapToGrid w:val="0"/>
              <w:spacing w:line="360" w:lineRule="auto"/>
              <w:jc w:val="both"/>
              <w:rPr>
                <w:sz w:val="21"/>
                <w:szCs w:val="21"/>
              </w:rPr>
            </w:pPr>
            <w:r>
              <w:rPr>
                <w:rFonts w:hint="eastAsia"/>
                <w:sz w:val="21"/>
                <w:szCs w:val="21"/>
              </w:rPr>
              <w:t>三、承诺根据公开招租文件的有关规定，对</w:t>
            </w:r>
            <w:r>
              <w:rPr>
                <w:rFonts w:hint="eastAsia"/>
                <w:sz w:val="21"/>
                <w:szCs w:val="21"/>
                <w:lang w:val="en-US"/>
              </w:rPr>
              <w:t>本单位法定代表人（个人）或委托代理人</w:t>
            </w:r>
            <w:r>
              <w:rPr>
                <w:rFonts w:hint="eastAsia"/>
                <w:sz w:val="21"/>
                <w:szCs w:val="21"/>
              </w:rPr>
              <w:t>在竞投过程中所作报价行为负全部责任。</w:t>
            </w:r>
          </w:p>
          <w:p>
            <w:pPr>
              <w:adjustRightInd w:val="0"/>
              <w:snapToGrid w:val="0"/>
              <w:spacing w:line="360" w:lineRule="auto"/>
              <w:jc w:val="both"/>
              <w:rPr>
                <w:sz w:val="21"/>
                <w:szCs w:val="21"/>
              </w:rPr>
            </w:pPr>
            <w:r>
              <w:rPr>
                <w:rFonts w:hint="eastAsia"/>
                <w:sz w:val="21"/>
                <w:szCs w:val="21"/>
                <w:lang w:val="en-US"/>
              </w:rPr>
              <w:t>四</w:t>
            </w:r>
            <w:r>
              <w:rPr>
                <w:rFonts w:hint="eastAsia"/>
                <w:sz w:val="21"/>
                <w:szCs w:val="21"/>
              </w:rPr>
              <w:t>、竞投起始报价：￥</w:t>
            </w:r>
            <w:r>
              <w:rPr>
                <w:sz w:val="21"/>
                <w:szCs w:val="21"/>
                <w:u w:val="single"/>
              </w:rPr>
              <w:t xml:space="preserve">     </w:t>
            </w:r>
            <w:r>
              <w:rPr>
                <w:rFonts w:hint="eastAsia"/>
                <w:sz w:val="21"/>
                <w:szCs w:val="21"/>
              </w:rPr>
              <w:t>元/月。同意以不低于以上报价参与</w:t>
            </w:r>
            <w:r>
              <w:rPr>
                <w:rFonts w:hint="eastAsia"/>
                <w:sz w:val="21"/>
                <w:szCs w:val="21"/>
                <w:u w:val="single"/>
                <w:lang w:val="en-US"/>
              </w:rPr>
              <w:t>容桂街道小黄圃社区眉蕉河沿岸、科龙职中以南地块一</w:t>
            </w:r>
            <w:r>
              <w:rPr>
                <w:rFonts w:hint="eastAsia"/>
                <w:sz w:val="21"/>
                <w:szCs w:val="21"/>
              </w:rPr>
              <w:t>承租权的竞投。 如该报价为最高报价，竞投会上则以该报价为起投价，如无更高应价时，该报价经拍卖师敲槌即可确认中标。</w:t>
            </w:r>
          </w:p>
          <w:p>
            <w:pPr>
              <w:adjustRightInd w:val="0"/>
              <w:snapToGrid w:val="0"/>
              <w:spacing w:line="360" w:lineRule="auto"/>
              <w:jc w:val="both"/>
              <w:rPr>
                <w:b/>
                <w:sz w:val="21"/>
                <w:szCs w:val="21"/>
              </w:rPr>
            </w:pPr>
          </w:p>
          <w:p>
            <w:pPr>
              <w:adjustRightInd w:val="0"/>
              <w:snapToGrid w:val="0"/>
              <w:spacing w:line="360" w:lineRule="auto"/>
              <w:ind w:firstLine="2415" w:firstLineChars="1150"/>
              <w:jc w:val="both"/>
              <w:rPr>
                <w:sz w:val="21"/>
                <w:szCs w:val="21"/>
                <w:lang w:val="en-US"/>
              </w:rPr>
            </w:pPr>
            <w:r>
              <w:rPr>
                <w:rFonts w:hint="eastAsia"/>
                <w:sz w:val="21"/>
                <w:szCs w:val="21"/>
              </w:rPr>
              <w:t>申请竞投人单位（</w:t>
            </w:r>
            <w:r>
              <w:rPr>
                <w:rFonts w:hint="eastAsia"/>
                <w:sz w:val="21"/>
                <w:szCs w:val="21"/>
                <w:lang w:val="en-US"/>
              </w:rPr>
              <w:t>个人</w:t>
            </w:r>
            <w:r>
              <w:rPr>
                <w:rFonts w:hint="eastAsia"/>
                <w:sz w:val="21"/>
                <w:szCs w:val="21"/>
              </w:rPr>
              <w:t>）名称（盖章）</w:t>
            </w:r>
          </w:p>
          <w:p>
            <w:pPr>
              <w:adjustRightInd w:val="0"/>
              <w:snapToGrid w:val="0"/>
              <w:spacing w:line="360" w:lineRule="auto"/>
              <w:ind w:firstLine="2940" w:firstLineChars="1400"/>
              <w:jc w:val="both"/>
              <w:rPr>
                <w:sz w:val="21"/>
                <w:szCs w:val="21"/>
                <w:u w:val="single"/>
                <w:lang w:val="en-US"/>
              </w:rPr>
            </w:pPr>
            <w:r>
              <w:rPr>
                <w:rFonts w:hint="eastAsia"/>
                <w:sz w:val="21"/>
                <w:szCs w:val="21"/>
                <w:lang w:val="en-US"/>
              </w:rPr>
              <w:t>法定代表人或委托代理人（签字）：</w:t>
            </w:r>
          </w:p>
          <w:p>
            <w:pPr>
              <w:adjustRightInd w:val="0"/>
              <w:snapToGrid w:val="0"/>
              <w:spacing w:line="360" w:lineRule="auto"/>
              <w:jc w:val="both"/>
              <w:rPr>
                <w:sz w:val="21"/>
                <w:szCs w:val="21"/>
              </w:rPr>
            </w:pPr>
          </w:p>
        </w:tc>
      </w:tr>
    </w:tbl>
    <w:p>
      <w:pPr>
        <w:pStyle w:val="4"/>
        <w:adjustRightInd w:val="0"/>
        <w:snapToGrid w:val="0"/>
        <w:spacing w:line="360" w:lineRule="auto"/>
        <w:ind w:left="105" w:right="105" w:firstLine="340"/>
        <w:jc w:val="both"/>
        <w:rPr>
          <w:rFonts w:ascii="宋体" w:hAnsi="宋体" w:eastAsia="宋体" w:cs="宋体"/>
        </w:rPr>
        <w:sectPr>
          <w:pgSz w:w="11907" w:h="16840"/>
          <w:pgMar w:top="1440" w:right="850" w:bottom="1440" w:left="1134" w:header="851" w:footer="992" w:gutter="0"/>
          <w:cols w:space="720" w:num="1"/>
          <w:titlePg/>
          <w:docGrid w:linePitch="462" w:charSpace="0"/>
        </w:sectPr>
      </w:pPr>
      <w:bookmarkStart w:id="252" w:name="_Toc358557701"/>
      <w:bookmarkStart w:id="253" w:name="_Toc310489198"/>
      <w:bookmarkStart w:id="254" w:name="_Toc341606291"/>
      <w:bookmarkStart w:id="255" w:name="_Toc11258_WPSOffice_Level2"/>
    </w:p>
    <w:p>
      <w:pPr>
        <w:adjustRightInd w:val="0"/>
        <w:snapToGrid w:val="0"/>
        <w:spacing w:line="360" w:lineRule="auto"/>
        <w:jc w:val="center"/>
        <w:rPr>
          <w:b/>
          <w:bCs/>
          <w:sz w:val="28"/>
          <w:szCs w:val="28"/>
        </w:rPr>
      </w:pPr>
      <w:r>
        <w:rPr>
          <w:rFonts w:hint="eastAsia"/>
          <w:b/>
          <w:bCs/>
          <w:sz w:val="28"/>
          <w:szCs w:val="28"/>
        </w:rPr>
        <w:t>2.法定代表人证明书（企业法人）</w:t>
      </w:r>
      <w:bookmarkEnd w:id="252"/>
      <w:bookmarkEnd w:id="253"/>
      <w:bookmarkEnd w:id="254"/>
    </w:p>
    <w:p>
      <w:pPr>
        <w:adjustRightInd w:val="0"/>
        <w:snapToGrid w:val="0"/>
        <w:spacing w:line="360" w:lineRule="auto"/>
        <w:jc w:val="both"/>
      </w:pPr>
      <w:r>
        <w:rPr>
          <w:rFonts w:hint="eastAsia"/>
        </w:rPr>
        <w:t>　　　　　　　　　　　　　　</w:t>
      </w:r>
    </w:p>
    <w:p>
      <w:pPr>
        <w:adjustRightInd w:val="0"/>
        <w:snapToGrid w:val="0"/>
        <w:spacing w:line="360" w:lineRule="auto"/>
        <w:jc w:val="both"/>
        <w:rPr>
          <w:lang w:val="en-US"/>
        </w:rPr>
      </w:pPr>
      <w:r>
        <w:rPr>
          <w:rFonts w:hint="eastAsia"/>
          <w:b/>
          <w:szCs w:val="21"/>
          <w:u w:val="single"/>
        </w:rPr>
        <w:t>致：佛山市</w:t>
      </w:r>
      <w:r>
        <w:rPr>
          <w:rFonts w:hint="eastAsia"/>
          <w:b/>
          <w:szCs w:val="21"/>
          <w:u w:val="single"/>
          <w:lang w:val="en-US"/>
        </w:rPr>
        <w:t>顺德拍卖行有限公司</w:t>
      </w:r>
    </w:p>
    <w:p>
      <w:pPr>
        <w:adjustRightInd w:val="0"/>
        <w:snapToGrid w:val="0"/>
        <w:spacing w:line="360" w:lineRule="auto"/>
        <w:ind w:left="440" w:leftChars="200" w:firstLine="110" w:firstLineChars="50"/>
        <w:jc w:val="both"/>
      </w:pPr>
      <w:r>
        <w:rPr>
          <w:rFonts w:hint="eastAsia"/>
        </w:rPr>
        <w:t>姓名：</w:t>
      </w:r>
      <w:r>
        <w:rPr>
          <w:rFonts w:hint="eastAsia"/>
          <w:u w:val="single"/>
        </w:rPr>
        <w:t xml:space="preserve"> </w:t>
      </w:r>
      <w:r>
        <w:rPr>
          <w:u w:val="single"/>
        </w:rPr>
        <w:t xml:space="preserve">    </w:t>
      </w:r>
      <w:r>
        <w:rPr>
          <w:rFonts w:hint="eastAsia"/>
        </w:rPr>
        <w:t>性别：</w:t>
      </w:r>
      <w:r>
        <w:rPr>
          <w:rFonts w:hint="eastAsia"/>
          <w:u w:val="single"/>
        </w:rPr>
        <w:t xml:space="preserve"> </w:t>
      </w:r>
      <w:r>
        <w:rPr>
          <w:u w:val="single"/>
        </w:rPr>
        <w:t xml:space="preserve">  </w:t>
      </w:r>
      <w:r>
        <w:rPr>
          <w:rFonts w:hint="eastAsia"/>
        </w:rPr>
        <w:t>年龄：</w:t>
      </w:r>
      <w:r>
        <w:rPr>
          <w:rFonts w:hint="eastAsia"/>
          <w:u w:val="single"/>
        </w:rPr>
        <w:t xml:space="preserve"> </w:t>
      </w:r>
      <w:r>
        <w:rPr>
          <w:u w:val="single"/>
        </w:rPr>
        <w:t xml:space="preserve">   </w:t>
      </w:r>
      <w:r>
        <w:rPr>
          <w:rFonts w:hint="eastAsia"/>
        </w:rPr>
        <w:t>职务：</w:t>
      </w:r>
      <w:r>
        <w:rPr>
          <w:rFonts w:hint="eastAsia"/>
          <w:u w:val="single"/>
        </w:rPr>
        <w:t xml:space="preserve"> </w:t>
      </w:r>
      <w:r>
        <w:rPr>
          <w:u w:val="single"/>
        </w:rPr>
        <w:t xml:space="preserve">   </w:t>
      </w:r>
      <w:r>
        <w:rPr>
          <w:rFonts w:hint="eastAsia"/>
          <w:u w:val="single"/>
        </w:rPr>
        <w:t>身</w:t>
      </w:r>
      <w:r>
        <w:rPr>
          <w:rFonts w:hint="eastAsia"/>
        </w:rPr>
        <w:t>份证号码：</w:t>
      </w:r>
      <w:r>
        <w:rPr>
          <w:rFonts w:hint="eastAsia"/>
          <w:u w:val="single"/>
        </w:rPr>
        <w:t xml:space="preserve"> </w:t>
      </w:r>
      <w:r>
        <w:rPr>
          <w:u w:val="single"/>
        </w:rPr>
        <w:t xml:space="preserve">       </w:t>
      </w:r>
      <w:r>
        <w:rPr>
          <w:rFonts w:hint="eastAsia"/>
          <w:u w:val="single"/>
        </w:rPr>
        <w:t xml:space="preserve"> </w:t>
      </w:r>
      <w:r>
        <w:rPr>
          <w:rFonts w:hint="eastAsia"/>
        </w:rPr>
        <w:t xml:space="preserve">是 </w:t>
      </w:r>
      <w:r>
        <w:t xml:space="preserve">           </w:t>
      </w:r>
      <w:r>
        <w:rPr>
          <w:rFonts w:hint="eastAsia"/>
        </w:rPr>
        <w:t>（竞价人名称）</w:t>
      </w:r>
      <w:r>
        <w:rPr>
          <w:rFonts w:hint="eastAsia"/>
          <w:u w:val="single"/>
        </w:rPr>
        <w:t xml:space="preserve"> </w:t>
      </w:r>
      <w:r>
        <w:rPr>
          <w:u w:val="single"/>
        </w:rPr>
        <w:t xml:space="preserve">           </w:t>
      </w:r>
      <w:r>
        <w:rPr>
          <w:rFonts w:hint="eastAsia"/>
        </w:rPr>
        <w:t>的法定代表人。为容桂街道小黄圃社区眉蕉河沿岸、科龙职中以南地块一公开招租竞投</w:t>
      </w:r>
      <w:r>
        <w:rPr>
          <w:rFonts w:hint="eastAsia"/>
          <w:lang w:val="en-US"/>
        </w:rPr>
        <w:t>承租权招租项目</w:t>
      </w:r>
      <w:r>
        <w:rPr>
          <w:rFonts w:hint="eastAsia"/>
        </w:rPr>
        <w:t>（</w:t>
      </w:r>
      <w:r>
        <w:rPr>
          <w:rFonts w:hint="eastAsia"/>
          <w:u w:val="single"/>
        </w:rPr>
        <w:t>交易存档号：</w:t>
      </w:r>
      <w:r>
        <w:rPr>
          <w:rFonts w:hint="eastAsia"/>
        </w:rPr>
        <w:t>容时公【2023】20231107号），项目签署资格文件、进行合同洽谈、签署合同和处理与之有关的一切事务。</w:t>
      </w:r>
    </w:p>
    <w:p>
      <w:pPr>
        <w:adjustRightInd w:val="0"/>
        <w:snapToGrid w:val="0"/>
        <w:spacing w:line="360" w:lineRule="auto"/>
        <w:jc w:val="both"/>
      </w:pPr>
    </w:p>
    <w:p>
      <w:pPr>
        <w:adjustRightInd w:val="0"/>
        <w:snapToGrid w:val="0"/>
        <w:spacing w:line="360" w:lineRule="auto"/>
        <w:jc w:val="both"/>
      </w:pPr>
      <w:r>
        <w:rPr>
          <w:rFonts w:hint="eastAsia"/>
        </w:rPr>
        <w:t>特此证明。</w:t>
      </w: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rPr>
          <w:bCs/>
          <w:u w:val="single"/>
        </w:rPr>
      </w:pPr>
      <w:r>
        <w:rPr>
          <w:rFonts w:hint="eastAsia"/>
          <w:bCs/>
        </w:rPr>
        <w:t>竞价人名称：</w:t>
      </w:r>
    </w:p>
    <w:p>
      <w:pPr>
        <w:adjustRightInd w:val="0"/>
        <w:snapToGrid w:val="0"/>
        <w:spacing w:line="360" w:lineRule="auto"/>
        <w:jc w:val="both"/>
        <w:rPr>
          <w:bCs/>
        </w:rPr>
      </w:pPr>
      <w:r>
        <w:rPr>
          <w:rFonts w:hint="eastAsia"/>
          <w:bCs/>
        </w:rPr>
        <w:t xml:space="preserve">                          （盖公章）</w:t>
      </w:r>
    </w:p>
    <w:p>
      <w:pPr>
        <w:adjustRightInd w:val="0"/>
        <w:snapToGrid w:val="0"/>
        <w:spacing w:line="360" w:lineRule="auto"/>
        <w:jc w:val="both"/>
        <w:rPr>
          <w:bCs/>
        </w:rPr>
      </w:pPr>
      <w:r>
        <w:rPr>
          <w:rFonts w:hint="eastAsia"/>
          <w:bCs/>
        </w:rPr>
        <w:t>日期：      年   月   日</w:t>
      </w: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r>
        <w:rPr>
          <w:rFonts w:hint="eastAsia"/>
        </w:rPr>
        <w:t>注：</w:t>
      </w:r>
    </w:p>
    <w:p>
      <w:pPr>
        <w:adjustRightInd w:val="0"/>
        <w:snapToGrid w:val="0"/>
        <w:spacing w:line="360" w:lineRule="auto"/>
        <w:jc w:val="both"/>
      </w:pPr>
      <w:r>
        <w:rPr>
          <w:rFonts w:hint="eastAsia"/>
        </w:rPr>
        <w:t>1.本证明书竞价人必须提供。此处所述“法定代表人，须与竞价人的“营业执照”上的内容一致。</w:t>
      </w:r>
    </w:p>
    <w:p>
      <w:pPr>
        <w:adjustRightInd w:val="0"/>
        <w:snapToGrid w:val="0"/>
        <w:spacing w:line="360" w:lineRule="auto"/>
        <w:jc w:val="both"/>
        <w:rPr>
          <w:b/>
        </w:rPr>
      </w:pPr>
    </w:p>
    <w:p>
      <w:pPr>
        <w:adjustRightInd w:val="0"/>
        <w:snapToGrid w:val="0"/>
        <w:spacing w:line="360" w:lineRule="auto"/>
        <w:jc w:val="both"/>
      </w:pPr>
      <w:r>
        <w:rPr>
          <w:lang w:val="en-US"/>
        </w:rPr>
        <mc:AlternateContent>
          <mc:Choice Requires="wps">
            <w:drawing>
              <wp:anchor distT="0" distB="0" distL="114300" distR="114300" simplePos="0" relativeHeight="251665408" behindDoc="0" locked="0" layoutInCell="1" allowOverlap="1">
                <wp:simplePos x="0" y="0"/>
                <wp:positionH relativeFrom="column">
                  <wp:posOffset>3351530</wp:posOffset>
                </wp:positionH>
                <wp:positionV relativeFrom="paragraph">
                  <wp:posOffset>111760</wp:posOffset>
                </wp:positionV>
                <wp:extent cx="2333625" cy="1980565"/>
                <wp:effectExtent l="4445" t="4445" r="5080" b="15240"/>
                <wp:wrapNone/>
                <wp:docPr id="6" name="自选图形 21"/>
                <wp:cNvGraphicFramePr/>
                <a:graphic xmlns:a="http://schemas.openxmlformats.org/drawingml/2006/main">
                  <a:graphicData uri="http://schemas.microsoft.com/office/word/2010/wordprocessingShape">
                    <wps:wsp>
                      <wps:cNvSpPr/>
                      <wps:spPr>
                        <a:xfrm>
                          <a:off x="0" y="0"/>
                          <a:ext cx="2333625" cy="19805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法定代表人二代身份证</w:t>
                            </w:r>
                          </w:p>
                          <w:p>
                            <w:pPr>
                              <w:ind w:left="105" w:right="105"/>
                              <w:jc w:val="center"/>
                              <w:rPr>
                                <w:szCs w:val="21"/>
                              </w:rPr>
                            </w:pPr>
                            <w:r>
                              <w:rPr>
                                <w:rFonts w:hint="eastAsia"/>
                                <w:szCs w:val="21"/>
                              </w:rPr>
                              <w:t>加盖公章的复印件</w:t>
                            </w:r>
                          </w:p>
                          <w:p>
                            <w:pPr>
                              <w:ind w:left="105" w:right="105"/>
                              <w:jc w:val="center"/>
                              <w:rPr>
                                <w:szCs w:val="21"/>
                              </w:rPr>
                            </w:pPr>
                          </w:p>
                        </w:txbxContent>
                      </wps:txbx>
                      <wps:bodyPr upright="1"/>
                    </wps:wsp>
                  </a:graphicData>
                </a:graphic>
              </wp:anchor>
            </w:drawing>
          </mc:Choice>
          <mc:Fallback>
            <w:pict>
              <v:shape id="自选图形 21" o:spid="_x0000_s1026" o:spt="176" type="#_x0000_t176" style="position:absolute;left:0pt;margin-left:263.9pt;margin-top:8.8pt;height:155.95pt;width:183.75pt;z-index:251665408;mso-width-relative:page;mso-height-relative:page;" fillcolor="#FFFFFF" filled="t" stroked="t" coordsize="21600,21600" o:gfxdata="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ybv8rX&#10;AAAACgEAAA8AAAAAAAAAAQAgAAAAIgAAAGRycy9kb3ducmV2LnhtbFBLAQIUABQAAAAIAIdO4kBA&#10;NHzjIQIAAFQEAAAOAAAAAAAAAAEAIAAAACYBAABkcnMvZTJvRG9jLnhtbFBLBQYAAAAABgAGAFkB&#10;AAC5BQAAAAA=&#10;">
                <v:fill on="t" focussize="0,0"/>
                <v:stroke color="#000000" joinstyle="miter"/>
                <v:imagedata o:title=""/>
                <o:lock v:ext="edit" aspectratio="f"/>
                <v:textbo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法定代表人二代身份证</w:t>
                      </w:r>
                    </w:p>
                    <w:p>
                      <w:pPr>
                        <w:ind w:left="105" w:right="105"/>
                        <w:jc w:val="center"/>
                        <w:rPr>
                          <w:szCs w:val="21"/>
                        </w:rPr>
                      </w:pPr>
                      <w:r>
                        <w:rPr>
                          <w:rFonts w:hint="eastAsia"/>
                          <w:szCs w:val="21"/>
                        </w:rPr>
                        <w:t>加盖公章的复印件</w:t>
                      </w:r>
                    </w:p>
                    <w:p>
                      <w:pPr>
                        <w:ind w:left="105" w:right="105"/>
                        <w:jc w:val="center"/>
                        <w:rPr>
                          <w:szCs w:val="21"/>
                        </w:rPr>
                      </w:pPr>
                    </w:p>
                  </w:txbxContent>
                </v:textbox>
              </v:shape>
            </w:pict>
          </mc:Fallback>
        </mc:AlternateContent>
      </w:r>
      <w:r>
        <w:rPr>
          <w:lang w:val="en-US"/>
        </w:rPr>
        <mc:AlternateContent>
          <mc:Choice Requires="wps">
            <w:drawing>
              <wp:anchor distT="0" distB="0" distL="114300" distR="114300" simplePos="0" relativeHeight="251663360" behindDoc="0" locked="0" layoutInCell="1" allowOverlap="1">
                <wp:simplePos x="0" y="0"/>
                <wp:positionH relativeFrom="column">
                  <wp:posOffset>83820</wp:posOffset>
                </wp:positionH>
                <wp:positionV relativeFrom="paragraph">
                  <wp:posOffset>114300</wp:posOffset>
                </wp:positionV>
                <wp:extent cx="2333625" cy="1980565"/>
                <wp:effectExtent l="4445" t="4445" r="5080" b="15240"/>
                <wp:wrapNone/>
                <wp:docPr id="4" name="自选图形 9"/>
                <wp:cNvGraphicFramePr/>
                <a:graphic xmlns:a="http://schemas.openxmlformats.org/drawingml/2006/main">
                  <a:graphicData uri="http://schemas.microsoft.com/office/word/2010/wordprocessingShape">
                    <wps:wsp>
                      <wps:cNvSpPr/>
                      <wps:spPr>
                        <a:xfrm>
                          <a:off x="0" y="0"/>
                          <a:ext cx="2333625" cy="19805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法定代表人二代身份证</w:t>
                            </w:r>
                          </w:p>
                          <w:p>
                            <w:pPr>
                              <w:ind w:left="105" w:right="105"/>
                              <w:jc w:val="center"/>
                              <w:rPr>
                                <w:szCs w:val="21"/>
                              </w:rPr>
                            </w:pPr>
                            <w:r>
                              <w:rPr>
                                <w:rFonts w:hint="eastAsia"/>
                                <w:szCs w:val="21"/>
                              </w:rPr>
                              <w:t>加盖公章的复印件</w:t>
                            </w:r>
                          </w:p>
                          <w:p>
                            <w:pPr>
                              <w:ind w:left="105" w:right="105"/>
                              <w:jc w:val="center"/>
                              <w:rPr>
                                <w:szCs w:val="21"/>
                              </w:rPr>
                            </w:pPr>
                          </w:p>
                        </w:txbxContent>
                      </wps:txbx>
                      <wps:bodyPr upright="1"/>
                    </wps:wsp>
                  </a:graphicData>
                </a:graphic>
              </wp:anchor>
            </w:drawing>
          </mc:Choice>
          <mc:Fallback>
            <w:pict>
              <v:shape id="自选图形 9" o:spid="_x0000_s1026" o:spt="176" type="#_x0000_t176" style="position:absolute;left:0pt;margin-left:6.6pt;margin-top:9pt;height:155.95pt;width:183.75pt;z-index:251663360;mso-width-relative:page;mso-height-relative:page;" fillcolor="#FFFFFF" filled="t" stroked="t" coordsize="21600,21600" o:gfxdata="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KBMGzVAAAA&#10;CQEAAA8AAAAAAAAAAQAgAAAAIgAAAGRycy9kb3ducmV2LnhtbFBLAQIUABQAAAAIAIdO4kBmNyU+&#10;IAIAAFMEAAAOAAAAAAAAAAEAIAAAACQBAABkcnMvZTJvRG9jLnhtbFBLBQYAAAAABgAGAFkBAAC2&#10;BQAAAAA=&#10;">
                <v:fill on="t" focussize="0,0"/>
                <v:stroke color="#000000" joinstyle="miter"/>
                <v:imagedata o:title=""/>
                <o:lock v:ext="edit" aspectratio="f"/>
                <v:textbo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法定代表人二代身份证</w:t>
                      </w:r>
                    </w:p>
                    <w:p>
                      <w:pPr>
                        <w:ind w:left="105" w:right="105"/>
                        <w:jc w:val="center"/>
                        <w:rPr>
                          <w:szCs w:val="21"/>
                        </w:rPr>
                      </w:pPr>
                      <w:r>
                        <w:rPr>
                          <w:rFonts w:hint="eastAsia"/>
                          <w:szCs w:val="21"/>
                        </w:rPr>
                        <w:t>加盖公章的复印件</w:t>
                      </w:r>
                    </w:p>
                    <w:p>
                      <w:pPr>
                        <w:ind w:left="105" w:right="105"/>
                        <w:jc w:val="center"/>
                        <w:rPr>
                          <w:szCs w:val="21"/>
                        </w:rPr>
                      </w:pPr>
                    </w:p>
                  </w:txbxContent>
                </v:textbox>
              </v:shape>
            </w:pict>
          </mc:Fallback>
        </mc:AlternateContent>
      </w: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rPr>
          <w:sz w:val="28"/>
        </w:rPr>
      </w:pPr>
    </w:p>
    <w:p>
      <w:pPr>
        <w:adjustRightInd w:val="0"/>
        <w:snapToGrid w:val="0"/>
        <w:spacing w:line="360" w:lineRule="auto"/>
        <w:jc w:val="both"/>
        <w:sectPr>
          <w:pgSz w:w="11907" w:h="16840"/>
          <w:pgMar w:top="1440" w:right="1467" w:bottom="1440" w:left="1260" w:header="851" w:footer="992" w:gutter="0"/>
          <w:cols w:space="720" w:num="1"/>
          <w:titlePg/>
          <w:docGrid w:linePitch="462" w:charSpace="0"/>
        </w:sectPr>
      </w:pPr>
    </w:p>
    <w:p>
      <w:pPr>
        <w:adjustRightInd w:val="0"/>
        <w:snapToGrid w:val="0"/>
        <w:spacing w:line="360" w:lineRule="auto"/>
        <w:jc w:val="center"/>
        <w:rPr>
          <w:b/>
          <w:bCs/>
          <w:sz w:val="28"/>
          <w:szCs w:val="28"/>
        </w:rPr>
      </w:pPr>
      <w:bookmarkStart w:id="256" w:name="_Toc22356583"/>
      <w:bookmarkStart w:id="257" w:name="_Toc24878535"/>
      <w:bookmarkStart w:id="258" w:name="_Toc506943514"/>
      <w:bookmarkStart w:id="259" w:name="_Toc513029281"/>
      <w:bookmarkStart w:id="260" w:name="_Toc23828483"/>
      <w:bookmarkStart w:id="261" w:name="_Toc26554103"/>
      <w:bookmarkStart w:id="262" w:name="_Toc506957186"/>
      <w:bookmarkStart w:id="263" w:name="_Toc80184789"/>
      <w:bookmarkStart w:id="264" w:name="_Toc358557702"/>
      <w:bookmarkStart w:id="265" w:name="_Toc310489199"/>
      <w:bookmarkStart w:id="266" w:name="_Toc341606292"/>
      <w:r>
        <w:rPr>
          <w:rFonts w:hint="eastAsia"/>
          <w:b/>
          <w:bCs/>
          <w:sz w:val="28"/>
          <w:szCs w:val="28"/>
        </w:rPr>
        <w:t>3.法定代表人授权书</w:t>
      </w:r>
      <w:bookmarkEnd w:id="256"/>
      <w:bookmarkEnd w:id="257"/>
      <w:bookmarkEnd w:id="258"/>
      <w:bookmarkEnd w:id="259"/>
      <w:bookmarkEnd w:id="260"/>
      <w:bookmarkEnd w:id="261"/>
      <w:r>
        <w:rPr>
          <w:rFonts w:hint="eastAsia"/>
          <w:b/>
          <w:bCs/>
          <w:sz w:val="28"/>
          <w:szCs w:val="28"/>
        </w:rPr>
        <w:t>（格式</w:t>
      </w:r>
      <w:bookmarkEnd w:id="262"/>
      <w:r>
        <w:rPr>
          <w:rFonts w:hint="eastAsia"/>
          <w:b/>
          <w:bCs/>
          <w:sz w:val="28"/>
          <w:szCs w:val="28"/>
        </w:rPr>
        <w:t>）</w:t>
      </w:r>
      <w:bookmarkEnd w:id="263"/>
      <w:bookmarkEnd w:id="264"/>
      <w:bookmarkEnd w:id="265"/>
      <w:bookmarkEnd w:id="266"/>
    </w:p>
    <w:p>
      <w:pPr>
        <w:adjustRightInd w:val="0"/>
        <w:snapToGrid w:val="0"/>
        <w:spacing w:line="360" w:lineRule="auto"/>
        <w:jc w:val="both"/>
        <w:rPr>
          <w:b/>
          <w:bCs/>
          <w:sz w:val="24"/>
          <w:szCs w:val="24"/>
        </w:rPr>
      </w:pPr>
      <w:r>
        <w:rPr>
          <w:rFonts w:hint="eastAsia"/>
          <w:b/>
          <w:bCs/>
          <w:sz w:val="24"/>
          <w:szCs w:val="24"/>
        </w:rPr>
        <w:t>致：佛山市顺德拍卖行有限公司</w:t>
      </w:r>
    </w:p>
    <w:p>
      <w:pPr>
        <w:adjustRightInd w:val="0"/>
        <w:snapToGrid w:val="0"/>
        <w:spacing w:line="360" w:lineRule="auto"/>
        <w:jc w:val="both"/>
        <w:rPr>
          <w:sz w:val="24"/>
          <w:szCs w:val="24"/>
        </w:rPr>
      </w:pPr>
    </w:p>
    <w:p>
      <w:pPr>
        <w:adjustRightInd w:val="0"/>
        <w:snapToGrid w:val="0"/>
        <w:spacing w:line="360" w:lineRule="auto"/>
        <w:jc w:val="both"/>
        <w:rPr>
          <w:sz w:val="24"/>
          <w:szCs w:val="24"/>
        </w:rPr>
      </w:pPr>
      <w:r>
        <w:rPr>
          <w:rFonts w:hint="eastAsia"/>
          <w:sz w:val="24"/>
          <w:szCs w:val="24"/>
        </w:rPr>
        <w:t xml:space="preserve">    本授权书委托书声明：我(姓名)</w:t>
      </w:r>
      <w:r>
        <w:rPr>
          <w:sz w:val="24"/>
          <w:szCs w:val="24"/>
          <w:u w:val="single"/>
        </w:rPr>
        <w:t xml:space="preserve">        </w:t>
      </w:r>
      <w:r>
        <w:rPr>
          <w:rFonts w:hint="eastAsia"/>
          <w:sz w:val="24"/>
          <w:szCs w:val="24"/>
        </w:rPr>
        <w:t>系(竞</w:t>
      </w:r>
      <w:r>
        <w:rPr>
          <w:rFonts w:hint="eastAsia"/>
          <w:sz w:val="24"/>
          <w:szCs w:val="24"/>
          <w:lang w:val="en-US"/>
        </w:rPr>
        <w:t>价</w:t>
      </w:r>
      <w:r>
        <w:rPr>
          <w:rFonts w:hint="eastAsia"/>
          <w:sz w:val="24"/>
          <w:szCs w:val="24"/>
        </w:rPr>
        <w:t>人名称)</w:t>
      </w:r>
      <w:r>
        <w:rPr>
          <w:sz w:val="24"/>
          <w:szCs w:val="24"/>
          <w:u w:val="single"/>
        </w:rPr>
        <w:t xml:space="preserve">            </w:t>
      </w:r>
      <w:r>
        <w:rPr>
          <w:rFonts w:hint="eastAsia"/>
          <w:sz w:val="24"/>
          <w:szCs w:val="24"/>
          <w:u w:val="single"/>
        </w:rPr>
        <w:t>的</w:t>
      </w:r>
      <w:r>
        <w:rPr>
          <w:rFonts w:hint="eastAsia"/>
          <w:sz w:val="24"/>
          <w:szCs w:val="24"/>
        </w:rPr>
        <w:t>法定代表人,现授权委托(单位名称)的(姓名)</w:t>
      </w:r>
      <w:r>
        <w:rPr>
          <w:sz w:val="24"/>
          <w:szCs w:val="24"/>
          <w:u w:val="single"/>
        </w:rPr>
        <w:t xml:space="preserve">        </w:t>
      </w:r>
      <w:r>
        <w:rPr>
          <w:rFonts w:hint="eastAsia"/>
          <w:sz w:val="24"/>
          <w:szCs w:val="24"/>
        </w:rPr>
        <w:t>为我公司代理人，以本公司的名义参加顺德拍卖行有限公司组织的</w:t>
      </w:r>
      <w:r>
        <w:rPr>
          <w:rFonts w:hint="eastAsia"/>
          <w:sz w:val="24"/>
          <w:szCs w:val="24"/>
          <w:u w:val="single"/>
        </w:rPr>
        <w:t>容桂街道小黄圃社区眉蕉河沿岸、科龙职中以南地块一公开</w:t>
      </w:r>
      <w:r>
        <w:rPr>
          <w:rFonts w:hint="eastAsia"/>
          <w:sz w:val="24"/>
          <w:szCs w:val="24"/>
        </w:rPr>
        <w:t>招租竞投</w:t>
      </w:r>
      <w:r>
        <w:rPr>
          <w:rFonts w:hint="eastAsia"/>
          <w:sz w:val="24"/>
          <w:szCs w:val="24"/>
          <w:lang w:val="en-US"/>
        </w:rPr>
        <w:t>承租权招租项目</w:t>
      </w:r>
      <w:r>
        <w:rPr>
          <w:rFonts w:hint="eastAsia"/>
          <w:sz w:val="24"/>
          <w:szCs w:val="24"/>
        </w:rPr>
        <w:t>（交易存档号：容时公【2023】20231107号）的竞价活动。代理人在报价过程中所签署的一切文件和处理与之有关的一切事务，我均予以承认。</w:t>
      </w:r>
    </w:p>
    <w:p>
      <w:pPr>
        <w:adjustRightInd w:val="0"/>
        <w:snapToGrid w:val="0"/>
        <w:spacing w:line="360" w:lineRule="auto"/>
        <w:jc w:val="both"/>
        <w:rPr>
          <w:sz w:val="24"/>
          <w:szCs w:val="24"/>
        </w:rPr>
      </w:pPr>
      <w:r>
        <w:rPr>
          <w:rFonts w:hint="eastAsia"/>
          <w:sz w:val="24"/>
          <w:szCs w:val="24"/>
        </w:rPr>
        <w:t>代理人无转委托权。</w:t>
      </w:r>
    </w:p>
    <w:p>
      <w:pPr>
        <w:adjustRightInd w:val="0"/>
        <w:snapToGrid w:val="0"/>
        <w:spacing w:line="360" w:lineRule="auto"/>
        <w:jc w:val="both"/>
        <w:rPr>
          <w:sz w:val="24"/>
          <w:szCs w:val="24"/>
        </w:rPr>
      </w:pPr>
      <w:r>
        <w:rPr>
          <w:rFonts w:hint="eastAsia"/>
          <w:sz w:val="24"/>
          <w:szCs w:val="24"/>
        </w:rPr>
        <w:t>特此委托。</w:t>
      </w:r>
    </w:p>
    <w:p>
      <w:pPr>
        <w:adjustRightInd w:val="0"/>
        <w:snapToGrid w:val="0"/>
        <w:spacing w:line="360" w:lineRule="auto"/>
        <w:jc w:val="both"/>
        <w:rPr>
          <w:sz w:val="24"/>
          <w:szCs w:val="24"/>
        </w:rPr>
      </w:pPr>
      <w:r>
        <w:rPr>
          <w:rFonts w:hint="eastAsia"/>
          <w:sz w:val="24"/>
          <w:szCs w:val="24"/>
        </w:rPr>
        <w:t xml:space="preserve">代理人：          性别：           年龄：         </w:t>
      </w:r>
    </w:p>
    <w:p>
      <w:pPr>
        <w:adjustRightInd w:val="0"/>
        <w:snapToGrid w:val="0"/>
        <w:spacing w:line="360" w:lineRule="auto"/>
        <w:jc w:val="both"/>
        <w:rPr>
          <w:sz w:val="24"/>
          <w:szCs w:val="24"/>
        </w:rPr>
      </w:pPr>
      <w:r>
        <w:rPr>
          <w:rFonts w:hint="eastAsia"/>
          <w:sz w:val="24"/>
          <w:szCs w:val="24"/>
        </w:rPr>
        <w:t xml:space="preserve">单位：            部门：           职务：         </w:t>
      </w:r>
    </w:p>
    <w:p>
      <w:pPr>
        <w:adjustRightInd w:val="0"/>
        <w:snapToGrid w:val="0"/>
        <w:spacing w:line="360" w:lineRule="auto"/>
        <w:jc w:val="both"/>
        <w:rPr>
          <w:sz w:val="24"/>
          <w:szCs w:val="24"/>
        </w:rPr>
      </w:pPr>
      <w:r>
        <w:rPr>
          <w:rFonts w:hint="eastAsia"/>
          <w:sz w:val="24"/>
          <w:szCs w:val="24"/>
        </w:rPr>
        <w:t xml:space="preserve">竞价人名称（盖章）：                                    </w:t>
      </w:r>
    </w:p>
    <w:p>
      <w:pPr>
        <w:adjustRightInd w:val="0"/>
        <w:snapToGrid w:val="0"/>
        <w:spacing w:line="360" w:lineRule="auto"/>
        <w:jc w:val="both"/>
        <w:rPr>
          <w:sz w:val="24"/>
          <w:szCs w:val="24"/>
        </w:rPr>
      </w:pPr>
      <w:r>
        <w:rPr>
          <w:rFonts w:hint="eastAsia"/>
          <w:sz w:val="24"/>
          <w:szCs w:val="24"/>
        </w:rPr>
        <w:t>法定代表人（签字或盖章：）</w:t>
      </w:r>
    </w:p>
    <w:p>
      <w:pPr>
        <w:adjustRightInd w:val="0"/>
        <w:snapToGrid w:val="0"/>
        <w:spacing w:line="360" w:lineRule="auto"/>
        <w:jc w:val="both"/>
        <w:rPr>
          <w:sz w:val="24"/>
          <w:szCs w:val="24"/>
        </w:rPr>
      </w:pPr>
    </w:p>
    <w:p>
      <w:pPr>
        <w:adjustRightInd w:val="0"/>
        <w:snapToGrid w:val="0"/>
        <w:spacing w:line="360" w:lineRule="auto"/>
        <w:jc w:val="both"/>
        <w:rPr>
          <w:sz w:val="24"/>
          <w:szCs w:val="24"/>
        </w:rPr>
      </w:pPr>
      <w:r>
        <w:rPr>
          <w:rFonts w:hint="eastAsia"/>
          <w:sz w:val="24"/>
          <w:szCs w:val="24"/>
        </w:rPr>
        <w:t>日期：</w:t>
      </w:r>
    </w:p>
    <w:p>
      <w:pPr>
        <w:adjustRightInd w:val="0"/>
        <w:snapToGrid w:val="0"/>
        <w:spacing w:line="360" w:lineRule="auto"/>
        <w:jc w:val="both"/>
        <w:rPr>
          <w:sz w:val="24"/>
          <w:szCs w:val="24"/>
        </w:rPr>
      </w:pPr>
    </w:p>
    <w:p>
      <w:pPr>
        <w:adjustRightInd w:val="0"/>
        <w:snapToGrid w:val="0"/>
        <w:spacing w:line="360" w:lineRule="auto"/>
        <w:jc w:val="both"/>
        <w:rPr>
          <w:sz w:val="24"/>
          <w:szCs w:val="24"/>
        </w:rPr>
      </w:pPr>
      <w:r>
        <w:rPr>
          <w:rFonts w:hint="eastAsia"/>
          <w:sz w:val="24"/>
          <w:szCs w:val="24"/>
        </w:rPr>
        <w:t>注：</w:t>
      </w:r>
    </w:p>
    <w:p>
      <w:pPr>
        <w:adjustRightInd w:val="0"/>
        <w:snapToGrid w:val="0"/>
        <w:spacing w:line="360" w:lineRule="auto"/>
        <w:jc w:val="both"/>
        <w:rPr>
          <w:sz w:val="24"/>
          <w:szCs w:val="24"/>
        </w:rPr>
      </w:pPr>
      <w:r>
        <w:rPr>
          <w:rFonts w:hint="eastAsia"/>
          <w:sz w:val="24"/>
          <w:szCs w:val="24"/>
        </w:rPr>
        <w:t>1.竞价人是“法定代表人”参加报价和签署资格文件的不须提供该委托书。</w:t>
      </w:r>
    </w:p>
    <w:p>
      <w:pPr>
        <w:adjustRightInd w:val="0"/>
        <w:snapToGrid w:val="0"/>
        <w:spacing w:line="360" w:lineRule="auto"/>
        <w:jc w:val="both"/>
        <w:rPr>
          <w:sz w:val="24"/>
          <w:szCs w:val="24"/>
        </w:rPr>
      </w:pPr>
      <w:r>
        <w:rPr>
          <w:rFonts w:hint="eastAsia"/>
          <w:sz w:val="24"/>
          <w:szCs w:val="24"/>
        </w:rPr>
        <w:t>2.此处所述“法定代表人”，须与竞价人“营业执照”上的内容一致。</w:t>
      </w:r>
    </w:p>
    <w:p>
      <w:pPr>
        <w:adjustRightInd w:val="0"/>
        <w:snapToGrid w:val="0"/>
        <w:spacing w:line="360" w:lineRule="auto"/>
        <w:jc w:val="both"/>
        <w:rPr>
          <w:sz w:val="24"/>
          <w:szCs w:val="24"/>
        </w:rPr>
      </w:pPr>
      <w:r>
        <w:rPr>
          <w:rFonts w:hint="eastAsia"/>
          <w:sz w:val="24"/>
          <w:szCs w:val="24"/>
        </w:rPr>
        <w:t>3.所指代理人即为竞价人代表人。</w:t>
      </w:r>
    </w:p>
    <w:p>
      <w:pPr>
        <w:adjustRightInd w:val="0"/>
        <w:snapToGrid w:val="0"/>
        <w:spacing w:line="360" w:lineRule="auto"/>
        <w:jc w:val="both"/>
      </w:pPr>
    </w:p>
    <w:p>
      <w:pPr>
        <w:adjustRightInd w:val="0"/>
        <w:snapToGrid w:val="0"/>
        <w:spacing w:line="360" w:lineRule="auto"/>
        <w:jc w:val="both"/>
      </w:pPr>
      <w:r>
        <w:rPr>
          <w:lang w:val="en-US"/>
        </w:rPr>
        <mc:AlternateContent>
          <mc:Choice Requires="wps">
            <w:drawing>
              <wp:anchor distT="0" distB="0" distL="114300" distR="114300" simplePos="0" relativeHeight="251666432" behindDoc="0" locked="0" layoutInCell="1" allowOverlap="1">
                <wp:simplePos x="0" y="0"/>
                <wp:positionH relativeFrom="column">
                  <wp:posOffset>3625850</wp:posOffset>
                </wp:positionH>
                <wp:positionV relativeFrom="paragraph">
                  <wp:posOffset>271145</wp:posOffset>
                </wp:positionV>
                <wp:extent cx="2411730" cy="1678305"/>
                <wp:effectExtent l="4445" t="4445" r="22225" b="12700"/>
                <wp:wrapNone/>
                <wp:docPr id="7" name="自选图形 22"/>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wps:txbx>
                      <wps:bodyPr upright="1"/>
                    </wps:wsp>
                  </a:graphicData>
                </a:graphic>
              </wp:anchor>
            </w:drawing>
          </mc:Choice>
          <mc:Fallback>
            <w:pict>
              <v:shape id="自选图形 22" o:spid="_x0000_s1026" o:spt="176" type="#_x0000_t176" style="position:absolute;left:0pt;margin-left:285.5pt;margin-top:21.35pt;height:132.15pt;width:189.9pt;z-index:251666432;mso-width-relative:page;mso-height-relative:page;" fillcolor="#FFFFFF" filled="t" stroked="t" coordsize="21600,21600" o:gfxdata="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Bo&#10;2dzZAAAACgEAAA8AAAAAAAAAAQAgAAAAIgAAAGRycy9kb3ducmV2LnhtbFBLAQIUABQAAAAIAIdO&#10;4kC/k7vWIgIAAFQEAAAOAAAAAAAAAAEAIAAAACgBAABkcnMvZTJvRG9jLnhtbFBLBQYAAAAABgAG&#10;AFkBAAC8BQAAAAA=&#10;">
                <v:fill on="t" focussize="0,0"/>
                <v:stroke color="#000000" joinstyle="miter"/>
                <v:imagedata o:title=""/>
                <o:lock v:ext="edit" aspectratio="f"/>
                <v:textbo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v:textbox>
              </v:shape>
            </w:pict>
          </mc:Fallback>
        </mc:AlternateContent>
      </w:r>
      <w:r>
        <w:rPr>
          <w:lang w:val="en-US"/>
        </w:rPr>
        <mc:AlternateContent>
          <mc:Choice Requires="wps">
            <w:drawing>
              <wp:anchor distT="0" distB="0" distL="114300" distR="114300" simplePos="0" relativeHeight="251664384" behindDoc="0" locked="0" layoutInCell="1" allowOverlap="1">
                <wp:simplePos x="0" y="0"/>
                <wp:positionH relativeFrom="column">
                  <wp:posOffset>183515</wp:posOffset>
                </wp:positionH>
                <wp:positionV relativeFrom="paragraph">
                  <wp:posOffset>250825</wp:posOffset>
                </wp:positionV>
                <wp:extent cx="2411730" cy="1678305"/>
                <wp:effectExtent l="4445" t="4445" r="22225" b="12700"/>
                <wp:wrapNone/>
                <wp:docPr id="5" name="自选图形 7"/>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wps:txbx>
                      <wps:bodyPr upright="1"/>
                    </wps:wsp>
                  </a:graphicData>
                </a:graphic>
              </wp:anchor>
            </w:drawing>
          </mc:Choice>
          <mc:Fallback>
            <w:pict>
              <v:shape id="自选图形 7" o:spid="_x0000_s1026" o:spt="176" type="#_x0000_t176" style="position:absolute;left:0pt;margin-left:14.45pt;margin-top:19.75pt;height:132.15pt;width:189.9pt;z-index:251664384;mso-width-relative:page;mso-height-relative:page;" fillcolor="#FFFFFF" filled="t" stroked="t" coordsize="21600,21600" o:gfxdata="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8EdRjX&#10;AAAACQEAAA8AAAAAAAAAAQAgAAAAIgAAAGRycy9kb3ducmV2LnhtbFBLAQIUABQAAAAIAIdO4kDw&#10;FMgXIQIAAFMEAAAOAAAAAAAAAAEAIAAAACYBAABkcnMvZTJvRG9jLnhtbFBLBQYAAAAABgAGAFkB&#10;AAC5BQAAAAA=&#10;">
                <v:fill on="t" focussize="0,0"/>
                <v:stroke color="#000000" joinstyle="miter"/>
                <v:imagedata o:title=""/>
                <o:lock v:ext="edit" aspectratio="f"/>
                <v:textbo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v:textbox>
              </v:shape>
            </w:pict>
          </mc:Fallback>
        </mc:AlternateContent>
      </w: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rPr>
          <w:u w:val="single"/>
        </w:rPr>
      </w:pPr>
    </w:p>
    <w:p>
      <w:pPr>
        <w:adjustRightInd w:val="0"/>
        <w:snapToGrid w:val="0"/>
        <w:spacing w:line="360" w:lineRule="auto"/>
        <w:jc w:val="both"/>
        <w:rPr>
          <w:u w:val="single"/>
        </w:rPr>
      </w:pPr>
    </w:p>
    <w:p>
      <w:pPr>
        <w:adjustRightInd w:val="0"/>
        <w:snapToGrid w:val="0"/>
        <w:spacing w:line="360" w:lineRule="auto"/>
        <w:jc w:val="both"/>
        <w:rPr>
          <w:u w:val="single"/>
        </w:rPr>
      </w:pPr>
    </w:p>
    <w:p>
      <w:pPr>
        <w:adjustRightInd w:val="0"/>
        <w:snapToGrid w:val="0"/>
        <w:spacing w:line="360" w:lineRule="auto"/>
        <w:jc w:val="both"/>
      </w:pPr>
    </w:p>
    <w:p>
      <w:pPr>
        <w:adjustRightInd w:val="0"/>
        <w:snapToGrid w:val="0"/>
        <w:spacing w:line="360" w:lineRule="auto"/>
        <w:jc w:val="center"/>
        <w:rPr>
          <w:bCs/>
          <w:szCs w:val="21"/>
        </w:rPr>
      </w:pPr>
    </w:p>
    <w:p>
      <w:pPr>
        <w:adjustRightInd w:val="0"/>
        <w:snapToGrid w:val="0"/>
        <w:spacing w:line="360" w:lineRule="auto"/>
        <w:jc w:val="center"/>
        <w:rPr>
          <w:b/>
          <w:bCs/>
          <w:sz w:val="28"/>
          <w:szCs w:val="28"/>
        </w:rPr>
      </w:pPr>
      <w:bookmarkStart w:id="267" w:name="_Hlk81739536"/>
      <w:bookmarkStart w:id="268" w:name="_Toc341606293"/>
      <w:bookmarkStart w:id="269" w:name="_Toc358557703"/>
      <w:r>
        <w:rPr>
          <w:rFonts w:hint="eastAsia"/>
          <w:b/>
          <w:bCs/>
          <w:sz w:val="28"/>
          <w:szCs w:val="28"/>
          <w:lang w:val="en-US"/>
        </w:rPr>
        <w:t>4</w:t>
      </w:r>
      <w:r>
        <w:rPr>
          <w:rFonts w:hint="eastAsia"/>
          <w:b/>
          <w:bCs/>
          <w:sz w:val="28"/>
          <w:szCs w:val="28"/>
        </w:rPr>
        <w:t>.</w:t>
      </w:r>
      <w:r>
        <w:rPr>
          <w:rFonts w:hint="eastAsia"/>
          <w:b/>
          <w:bCs/>
          <w:sz w:val="28"/>
          <w:szCs w:val="28"/>
          <w:lang w:val="en-US"/>
        </w:rPr>
        <w:t>个人</w:t>
      </w:r>
      <w:r>
        <w:rPr>
          <w:rFonts w:hint="eastAsia"/>
          <w:b/>
          <w:bCs/>
          <w:sz w:val="28"/>
          <w:szCs w:val="28"/>
        </w:rPr>
        <w:t>代表人授权书（格式）</w:t>
      </w:r>
    </w:p>
    <w:p>
      <w:pPr>
        <w:adjustRightInd w:val="0"/>
        <w:snapToGrid w:val="0"/>
        <w:spacing w:line="360" w:lineRule="auto"/>
        <w:jc w:val="both"/>
        <w:rPr>
          <w:b/>
          <w:bCs/>
          <w:sz w:val="24"/>
          <w:szCs w:val="24"/>
        </w:rPr>
      </w:pPr>
      <w:r>
        <w:rPr>
          <w:rFonts w:hint="eastAsia"/>
          <w:b/>
          <w:bCs/>
          <w:sz w:val="24"/>
          <w:szCs w:val="24"/>
        </w:rPr>
        <w:t>致：佛山市顺德拍卖行有限公司</w:t>
      </w:r>
    </w:p>
    <w:p>
      <w:pPr>
        <w:adjustRightInd w:val="0"/>
        <w:snapToGrid w:val="0"/>
        <w:spacing w:line="360" w:lineRule="auto"/>
        <w:jc w:val="both"/>
      </w:pPr>
    </w:p>
    <w:p>
      <w:pPr>
        <w:adjustRightInd w:val="0"/>
        <w:snapToGrid w:val="0"/>
        <w:spacing w:line="360" w:lineRule="auto"/>
        <w:jc w:val="both"/>
        <w:rPr>
          <w:sz w:val="24"/>
          <w:szCs w:val="24"/>
        </w:rPr>
      </w:pPr>
      <w:r>
        <w:rPr>
          <w:rFonts w:hint="eastAsia"/>
          <w:sz w:val="24"/>
          <w:szCs w:val="24"/>
        </w:rPr>
        <w:t xml:space="preserve">  本授权书委托书声明：现授权委托（</w:t>
      </w:r>
      <w:r>
        <w:rPr>
          <w:rFonts w:hint="eastAsia"/>
          <w:sz w:val="24"/>
          <w:szCs w:val="24"/>
          <w:lang w:val="en-US"/>
        </w:rPr>
        <w:t>代理人</w:t>
      </w:r>
      <w:r>
        <w:rPr>
          <w:rFonts w:hint="eastAsia"/>
          <w:sz w:val="24"/>
          <w:szCs w:val="24"/>
        </w:rPr>
        <w:t>）为我</w:t>
      </w:r>
      <w:r>
        <w:rPr>
          <w:rFonts w:hint="eastAsia"/>
          <w:sz w:val="24"/>
          <w:szCs w:val="24"/>
          <w:lang w:val="en-US"/>
        </w:rPr>
        <w:t>的</w:t>
      </w:r>
      <w:r>
        <w:rPr>
          <w:rFonts w:hint="eastAsia"/>
          <w:sz w:val="24"/>
          <w:szCs w:val="24"/>
        </w:rPr>
        <w:t>代理人，以（</w:t>
      </w:r>
      <w:r>
        <w:rPr>
          <w:rFonts w:hint="eastAsia"/>
          <w:sz w:val="24"/>
          <w:szCs w:val="24"/>
          <w:lang w:val="en-US"/>
        </w:rPr>
        <w:t>竞投人</w:t>
      </w:r>
      <w:r>
        <w:rPr>
          <w:rFonts w:hint="eastAsia"/>
          <w:sz w:val="24"/>
          <w:szCs w:val="24"/>
        </w:rPr>
        <w:t>）的名义参加顺德拍卖行有限公司组织的容桂街道小黄圃社区眉蕉河沿岸、科龙职中以南地块一公开招租竞投</w:t>
      </w:r>
      <w:r>
        <w:rPr>
          <w:rFonts w:hint="eastAsia"/>
          <w:sz w:val="24"/>
          <w:szCs w:val="24"/>
          <w:lang w:val="en-US"/>
        </w:rPr>
        <w:t>承租权招租项目</w:t>
      </w:r>
      <w:r>
        <w:rPr>
          <w:rFonts w:hint="eastAsia"/>
          <w:sz w:val="24"/>
          <w:szCs w:val="24"/>
        </w:rPr>
        <w:t>（交易存档号：容时公【2023】2023</w:t>
      </w:r>
      <w:r>
        <w:rPr>
          <w:rFonts w:hint="eastAsia"/>
          <w:sz w:val="24"/>
          <w:szCs w:val="24"/>
          <w:lang w:val="en-US"/>
        </w:rPr>
        <w:t>0911</w:t>
      </w:r>
      <w:r>
        <w:rPr>
          <w:rFonts w:hint="eastAsia"/>
          <w:sz w:val="24"/>
          <w:szCs w:val="24"/>
        </w:rPr>
        <w:t>）的竞价活动。代理人在报价过程中所签署的一切文件和处理与之有关的一切事务，我均予以承认。</w:t>
      </w:r>
    </w:p>
    <w:p>
      <w:pPr>
        <w:adjustRightInd w:val="0"/>
        <w:snapToGrid w:val="0"/>
        <w:spacing w:line="360" w:lineRule="auto"/>
        <w:jc w:val="both"/>
        <w:rPr>
          <w:sz w:val="24"/>
          <w:szCs w:val="24"/>
        </w:rPr>
      </w:pPr>
      <w:r>
        <w:rPr>
          <w:rFonts w:hint="eastAsia"/>
          <w:sz w:val="24"/>
          <w:szCs w:val="24"/>
        </w:rPr>
        <w:t>代理人无转委托权。</w:t>
      </w:r>
    </w:p>
    <w:p>
      <w:pPr>
        <w:adjustRightInd w:val="0"/>
        <w:snapToGrid w:val="0"/>
        <w:spacing w:line="360" w:lineRule="auto"/>
        <w:jc w:val="both"/>
        <w:rPr>
          <w:sz w:val="24"/>
          <w:szCs w:val="24"/>
        </w:rPr>
      </w:pPr>
      <w:r>
        <w:rPr>
          <w:rFonts w:hint="eastAsia"/>
          <w:sz w:val="24"/>
          <w:szCs w:val="24"/>
        </w:rPr>
        <w:t>特此委托。</w:t>
      </w:r>
    </w:p>
    <w:p>
      <w:pPr>
        <w:adjustRightInd w:val="0"/>
        <w:snapToGrid w:val="0"/>
        <w:spacing w:line="360" w:lineRule="auto"/>
        <w:jc w:val="both"/>
        <w:rPr>
          <w:sz w:val="24"/>
          <w:szCs w:val="24"/>
        </w:rPr>
      </w:pPr>
      <w:r>
        <w:rPr>
          <w:rFonts w:hint="eastAsia"/>
          <w:sz w:val="24"/>
          <w:szCs w:val="24"/>
        </w:rPr>
        <w:t xml:space="preserve">代理人：         性别：男         年龄：  </w:t>
      </w:r>
    </w:p>
    <w:p>
      <w:pPr>
        <w:adjustRightInd w:val="0"/>
        <w:snapToGrid w:val="0"/>
        <w:spacing w:line="360" w:lineRule="auto"/>
        <w:jc w:val="both"/>
        <w:rPr>
          <w:sz w:val="24"/>
          <w:szCs w:val="24"/>
        </w:rPr>
      </w:pPr>
      <w:r>
        <w:rPr>
          <w:rFonts w:hint="eastAsia"/>
          <w:sz w:val="24"/>
          <w:szCs w:val="24"/>
          <w:lang w:val="en-US"/>
        </w:rPr>
        <w:t>竞投人</w:t>
      </w:r>
      <w:r>
        <w:rPr>
          <w:rFonts w:hint="eastAsia"/>
          <w:sz w:val="24"/>
          <w:szCs w:val="24"/>
        </w:rPr>
        <w:t xml:space="preserve">：           </w:t>
      </w:r>
    </w:p>
    <w:p>
      <w:pPr>
        <w:adjustRightInd w:val="0"/>
        <w:snapToGrid w:val="0"/>
        <w:spacing w:line="360" w:lineRule="auto"/>
        <w:jc w:val="both"/>
        <w:rPr>
          <w:sz w:val="24"/>
          <w:szCs w:val="24"/>
        </w:rPr>
      </w:pPr>
    </w:p>
    <w:p>
      <w:pPr>
        <w:adjustRightInd w:val="0"/>
        <w:snapToGrid w:val="0"/>
        <w:spacing w:line="360" w:lineRule="auto"/>
        <w:jc w:val="both"/>
        <w:rPr>
          <w:sz w:val="24"/>
          <w:szCs w:val="24"/>
        </w:rPr>
      </w:pPr>
      <w:r>
        <w:rPr>
          <w:rFonts w:hint="eastAsia"/>
          <w:sz w:val="24"/>
          <w:szCs w:val="24"/>
        </w:rPr>
        <w:t xml:space="preserve">日期： </w:t>
      </w:r>
    </w:p>
    <w:p>
      <w:pPr>
        <w:adjustRightInd w:val="0"/>
        <w:snapToGrid w:val="0"/>
        <w:spacing w:line="360" w:lineRule="auto"/>
        <w:jc w:val="both"/>
        <w:rPr>
          <w:sz w:val="24"/>
          <w:szCs w:val="24"/>
        </w:rPr>
      </w:pPr>
    </w:p>
    <w:p>
      <w:pPr>
        <w:adjustRightInd w:val="0"/>
        <w:snapToGrid w:val="0"/>
        <w:spacing w:line="360" w:lineRule="auto"/>
        <w:jc w:val="both"/>
        <w:rPr>
          <w:sz w:val="24"/>
          <w:szCs w:val="24"/>
        </w:rPr>
      </w:pPr>
      <w:r>
        <w:rPr>
          <w:rFonts w:hint="eastAsia"/>
          <w:sz w:val="24"/>
          <w:szCs w:val="24"/>
        </w:rPr>
        <w:t>注：</w:t>
      </w:r>
    </w:p>
    <w:p>
      <w:pPr>
        <w:adjustRightInd w:val="0"/>
        <w:snapToGrid w:val="0"/>
        <w:spacing w:line="360" w:lineRule="auto"/>
        <w:jc w:val="both"/>
        <w:rPr>
          <w:sz w:val="24"/>
          <w:szCs w:val="24"/>
          <w:lang w:val="en-US"/>
        </w:rPr>
      </w:pPr>
      <w:r>
        <w:rPr>
          <w:rFonts w:hint="eastAsia"/>
          <w:sz w:val="24"/>
          <w:szCs w:val="24"/>
        </w:rPr>
        <w:t>1.</w:t>
      </w:r>
      <w:r>
        <w:rPr>
          <w:rFonts w:hint="eastAsia"/>
          <w:sz w:val="24"/>
          <w:szCs w:val="24"/>
          <w:lang w:val="en-US"/>
        </w:rPr>
        <w:t>代理人：委托的人</w:t>
      </w:r>
    </w:p>
    <w:p>
      <w:pPr>
        <w:adjustRightInd w:val="0"/>
        <w:snapToGrid w:val="0"/>
        <w:spacing w:line="360" w:lineRule="auto"/>
        <w:jc w:val="both"/>
        <w:rPr>
          <w:sz w:val="24"/>
          <w:szCs w:val="24"/>
          <w:lang w:val="en-US"/>
        </w:rPr>
      </w:pPr>
      <w:r>
        <w:rPr>
          <w:rFonts w:hint="eastAsia"/>
          <w:sz w:val="24"/>
          <w:szCs w:val="24"/>
        </w:rPr>
        <w:t>2.</w:t>
      </w:r>
      <w:r>
        <w:rPr>
          <w:rFonts w:hint="eastAsia"/>
          <w:sz w:val="24"/>
          <w:szCs w:val="24"/>
          <w:lang w:val="en-US"/>
        </w:rPr>
        <w:t>竞投人：缴交竞投保证金的人</w:t>
      </w:r>
    </w:p>
    <w:p>
      <w:pPr>
        <w:adjustRightInd w:val="0"/>
        <w:snapToGrid w:val="0"/>
        <w:spacing w:line="360" w:lineRule="auto"/>
        <w:jc w:val="both"/>
      </w:pPr>
    </w:p>
    <w:p>
      <w:pPr>
        <w:adjustRightInd w:val="0"/>
        <w:snapToGrid w:val="0"/>
        <w:spacing w:line="360" w:lineRule="auto"/>
        <w:jc w:val="both"/>
      </w:pPr>
      <w:r>
        <w:rPr>
          <w:rFonts w:hint="eastAsia"/>
        </w:rPr>
        <w:t>另页附身份证地面复印件：</w:t>
      </w:r>
    </w:p>
    <w:p>
      <w:pPr>
        <w:adjustRightInd w:val="0"/>
        <w:snapToGrid w:val="0"/>
        <w:spacing w:line="360" w:lineRule="auto"/>
        <w:jc w:val="both"/>
      </w:pPr>
      <w:r>
        <w:rPr>
          <w:lang w:val="en-US"/>
        </w:rPr>
        <mc:AlternateContent>
          <mc:Choice Requires="wps">
            <w:drawing>
              <wp:anchor distT="0" distB="0" distL="114300" distR="114300" simplePos="0" relativeHeight="251668480" behindDoc="0" locked="0" layoutInCell="1" allowOverlap="1">
                <wp:simplePos x="0" y="0"/>
                <wp:positionH relativeFrom="column">
                  <wp:posOffset>3625850</wp:posOffset>
                </wp:positionH>
                <wp:positionV relativeFrom="paragraph">
                  <wp:posOffset>62865</wp:posOffset>
                </wp:positionV>
                <wp:extent cx="2411730" cy="1678305"/>
                <wp:effectExtent l="4445" t="4445" r="22225" b="12700"/>
                <wp:wrapNone/>
                <wp:docPr id="9" name="自选图形 6"/>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wps:txbx>
                      <wps:bodyPr upright="1"/>
                    </wps:wsp>
                  </a:graphicData>
                </a:graphic>
              </wp:anchor>
            </w:drawing>
          </mc:Choice>
          <mc:Fallback>
            <w:pict>
              <v:shape id="自选图形 6" o:spid="_x0000_s1026" o:spt="176" type="#_x0000_t176" style="position:absolute;left:0pt;margin-left:285.5pt;margin-top:4.95pt;height:132.15pt;width:189.9pt;z-index:251668480;mso-width-relative:page;mso-height-relative:page;" fillcolor="#FFFFFF" filled="t" stroked="t" coordsize="21600,21600" o:gfxdata="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uUKorY&#10;AAAACQEAAA8AAAAAAAAAAQAgAAAAIgAAAGRycy9kb3ducmV2LnhtbFBLAQIUABQAAAAIAIdO4kC6&#10;1etFIAIAAFMEAAAOAAAAAAAAAAEAIAAAACcBAABkcnMvZTJvRG9jLnhtbFBLBQYAAAAABgAGAFkB&#10;AAC5BQAAAAA=&#10;">
                <v:fill on="t" focussize="0,0"/>
                <v:stroke color="#000000" joinstyle="miter"/>
                <v:imagedata o:title=""/>
                <o:lock v:ext="edit" aspectratio="f"/>
                <v:textbo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v:textbox>
              </v:shape>
            </w:pict>
          </mc:Fallback>
        </mc:AlternateContent>
      </w:r>
      <w:r>
        <w:rPr>
          <w:lang w:val="en-US"/>
        </w:rPr>
        <mc:AlternateContent>
          <mc:Choice Requires="wps">
            <w:drawing>
              <wp:anchor distT="0" distB="0" distL="114300" distR="114300" simplePos="0" relativeHeight="251667456" behindDoc="0" locked="0" layoutInCell="1" allowOverlap="1">
                <wp:simplePos x="0" y="0"/>
                <wp:positionH relativeFrom="column">
                  <wp:posOffset>233045</wp:posOffset>
                </wp:positionH>
                <wp:positionV relativeFrom="paragraph">
                  <wp:posOffset>36830</wp:posOffset>
                </wp:positionV>
                <wp:extent cx="2411730" cy="1678305"/>
                <wp:effectExtent l="4445" t="4445" r="22225" b="12700"/>
                <wp:wrapNone/>
                <wp:docPr id="8" name="自选图形 5"/>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wps:txbx>
                      <wps:bodyPr upright="1"/>
                    </wps:wsp>
                  </a:graphicData>
                </a:graphic>
              </wp:anchor>
            </w:drawing>
          </mc:Choice>
          <mc:Fallback>
            <w:pict>
              <v:shape id="自选图形 5" o:spid="_x0000_s1026" o:spt="176" type="#_x0000_t176" style="position:absolute;left:0pt;margin-left:18.35pt;margin-top:2.9pt;height:132.15pt;width:189.9pt;z-index:251667456;mso-width-relative:page;mso-height-relative:page;" fillcolor="#FFFFFF" filled="t" stroked="t" coordsize="21600,21600" o:gfxdata="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Zy1&#10;x9cAAAAIAQAADwAAAAAAAAABACAAAAAiAAAAZHJzL2Rvd25yZXYueG1sUEsBAhQAFAAAAAgAh07i&#10;QHYHhfojAgAAUwQAAA4AAAAAAAAAAQAgAAAAJgEAAGRycy9lMm9Eb2MueG1sUEsFBgAAAAAGAAYA&#10;WQEAALsFAAAAAA==&#10;">
                <v:fill on="t" focussize="0,0"/>
                <v:stroke color="#000000" joinstyle="miter"/>
                <v:imagedata o:title=""/>
                <o:lock v:ext="edit" aspectratio="f"/>
                <v:textbo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v:textbox>
              </v:shape>
            </w:pict>
          </mc:Fallback>
        </mc:AlternateContent>
      </w:r>
    </w:p>
    <w:p>
      <w:pPr>
        <w:adjustRightInd w:val="0"/>
        <w:snapToGrid w:val="0"/>
        <w:spacing w:line="360" w:lineRule="auto"/>
        <w:jc w:val="both"/>
      </w:pPr>
    </w:p>
    <w:p>
      <w:pPr>
        <w:adjustRightInd w:val="0"/>
        <w:snapToGrid w:val="0"/>
        <w:spacing w:line="360" w:lineRule="auto"/>
        <w:jc w:val="both"/>
      </w:pPr>
    </w:p>
    <w:bookmarkEnd w:id="267"/>
    <w:p>
      <w:pPr>
        <w:adjustRightInd w:val="0"/>
        <w:snapToGrid w:val="0"/>
        <w:spacing w:line="360" w:lineRule="auto"/>
        <w:jc w:val="both"/>
      </w:pPr>
    </w:p>
    <w:p>
      <w:pPr>
        <w:adjustRightInd w:val="0"/>
        <w:snapToGrid w:val="0"/>
        <w:spacing w:line="360" w:lineRule="auto"/>
        <w:jc w:val="both"/>
        <w:rPr>
          <w:u w:val="single"/>
        </w:rPr>
      </w:pPr>
    </w:p>
    <w:p>
      <w:pPr>
        <w:adjustRightInd w:val="0"/>
        <w:snapToGrid w:val="0"/>
        <w:spacing w:line="360" w:lineRule="auto"/>
        <w:jc w:val="both"/>
        <w:rPr>
          <w:u w:val="single"/>
        </w:rPr>
      </w:pPr>
    </w:p>
    <w:p>
      <w:pPr>
        <w:adjustRightInd w:val="0"/>
        <w:snapToGrid w:val="0"/>
        <w:spacing w:line="360" w:lineRule="auto"/>
        <w:jc w:val="both"/>
        <w:rPr>
          <w:u w:val="single"/>
        </w:rPr>
      </w:pPr>
    </w:p>
    <w:p>
      <w:pPr>
        <w:adjustRightInd w:val="0"/>
        <w:snapToGrid w:val="0"/>
        <w:spacing w:line="360" w:lineRule="auto"/>
        <w:jc w:val="both"/>
        <w:rPr>
          <w:u w:val="single"/>
        </w:rPr>
      </w:pPr>
    </w:p>
    <w:p>
      <w:pPr>
        <w:adjustRightInd w:val="0"/>
        <w:snapToGrid w:val="0"/>
        <w:spacing w:line="360" w:lineRule="auto"/>
        <w:jc w:val="both"/>
        <w:rPr>
          <w:bCs/>
          <w:szCs w:val="21"/>
        </w:rPr>
        <w:sectPr>
          <w:pgSz w:w="11910" w:h="16840"/>
          <w:pgMar w:top="1440" w:right="1080" w:bottom="1440" w:left="1080" w:header="0" w:footer="421" w:gutter="0"/>
          <w:cols w:space="720" w:num="1"/>
        </w:sectPr>
      </w:pPr>
    </w:p>
    <w:p>
      <w:pPr>
        <w:adjustRightInd w:val="0"/>
        <w:snapToGrid w:val="0"/>
        <w:spacing w:line="360" w:lineRule="auto"/>
        <w:jc w:val="both"/>
        <w:rPr>
          <w:b/>
          <w:bCs/>
          <w:sz w:val="28"/>
          <w:szCs w:val="28"/>
          <w:lang w:val="en-US"/>
        </w:rPr>
      </w:pPr>
    </w:p>
    <w:p>
      <w:pPr>
        <w:adjustRightInd w:val="0"/>
        <w:snapToGrid w:val="0"/>
        <w:spacing w:line="360" w:lineRule="auto"/>
        <w:jc w:val="both"/>
        <w:rPr>
          <w:b/>
          <w:bCs/>
          <w:sz w:val="28"/>
          <w:szCs w:val="28"/>
        </w:rPr>
      </w:pPr>
      <w:r>
        <w:rPr>
          <w:rFonts w:hint="eastAsia"/>
          <w:b/>
          <w:bCs/>
          <w:sz w:val="28"/>
          <w:szCs w:val="28"/>
          <w:lang w:val="en-US"/>
        </w:rPr>
        <w:t>5</w:t>
      </w:r>
      <w:r>
        <w:rPr>
          <w:rFonts w:hint="eastAsia"/>
          <w:b/>
          <w:bCs/>
          <w:sz w:val="28"/>
          <w:szCs w:val="28"/>
        </w:rPr>
        <w:t>.提供保证金的银行汇款底单（复印件）</w:t>
      </w:r>
      <w:bookmarkEnd w:id="268"/>
      <w:bookmarkEnd w:id="269"/>
      <w:r>
        <w:rPr>
          <w:rFonts w:hint="eastAsia"/>
          <w:b/>
          <w:bCs/>
          <w:sz w:val="28"/>
          <w:szCs w:val="28"/>
        </w:rPr>
        <w:t>，</w:t>
      </w:r>
      <w:r>
        <w:rPr>
          <w:rFonts w:hint="eastAsia"/>
          <w:b/>
          <w:bCs/>
          <w:sz w:val="28"/>
          <w:szCs w:val="28"/>
          <w:lang w:val="en-US"/>
        </w:rPr>
        <w:t>网上银行</w:t>
      </w:r>
      <w:r>
        <w:rPr>
          <w:rFonts w:hint="eastAsia"/>
          <w:b/>
          <w:bCs/>
          <w:sz w:val="28"/>
          <w:szCs w:val="28"/>
        </w:rPr>
        <w:t>或手机银行</w:t>
      </w:r>
      <w:r>
        <w:rPr>
          <w:rFonts w:hint="eastAsia"/>
          <w:b/>
          <w:bCs/>
          <w:sz w:val="28"/>
          <w:szCs w:val="28"/>
          <w:lang w:val="en-US"/>
        </w:rPr>
        <w:t>汇款凭证</w:t>
      </w:r>
      <w:r>
        <w:rPr>
          <w:rFonts w:hint="eastAsia"/>
          <w:b/>
          <w:bCs/>
          <w:sz w:val="28"/>
          <w:szCs w:val="28"/>
        </w:rPr>
        <w:t>的打印件。</w:t>
      </w: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bookmarkStart w:id="270" w:name="_Toc358557704"/>
      <w:bookmarkStart w:id="271" w:name="_Toc342317893"/>
      <w:r>
        <w:rPr>
          <w:rFonts w:hint="eastAsia"/>
          <w:b/>
          <w:bCs/>
          <w:sz w:val="28"/>
          <w:szCs w:val="28"/>
          <w:lang w:val="en-US"/>
        </w:rPr>
        <w:t>6.</w:t>
      </w:r>
      <w:r>
        <w:rPr>
          <w:rFonts w:hint="eastAsia"/>
          <w:b/>
          <w:bCs/>
          <w:sz w:val="28"/>
          <w:szCs w:val="28"/>
        </w:rPr>
        <w:t>提供营业执照副本的复印件加盖公章</w:t>
      </w:r>
      <w:bookmarkEnd w:id="270"/>
      <w:bookmarkEnd w:id="271"/>
      <w:r>
        <w:rPr>
          <w:rFonts w:hint="eastAsia"/>
          <w:b/>
          <w:bCs/>
          <w:sz w:val="28"/>
          <w:szCs w:val="28"/>
        </w:rPr>
        <w:t>（</w:t>
      </w:r>
      <w:r>
        <w:rPr>
          <w:rFonts w:hint="eastAsia"/>
          <w:b/>
          <w:bCs/>
          <w:sz w:val="28"/>
          <w:szCs w:val="28"/>
          <w:lang w:val="en-US"/>
        </w:rPr>
        <w:t>公司报名参与竞投</w:t>
      </w:r>
      <w:r>
        <w:rPr>
          <w:rFonts w:hint="eastAsia"/>
          <w:b/>
          <w:bCs/>
          <w:sz w:val="28"/>
          <w:szCs w:val="28"/>
        </w:rPr>
        <w:t>），个人提供身份证复印件。</w:t>
      </w: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sectPr>
          <w:pgSz w:w="11910" w:h="16840"/>
          <w:pgMar w:top="1440" w:right="1080" w:bottom="1440" w:left="1080" w:header="0" w:footer="421" w:gutter="0"/>
          <w:cols w:space="720" w:num="1"/>
        </w:sectPr>
      </w:pPr>
    </w:p>
    <w:bookmarkEnd w:id="255"/>
    <w:p>
      <w:pPr>
        <w:adjustRightInd w:val="0"/>
        <w:snapToGrid w:val="0"/>
        <w:spacing w:line="360" w:lineRule="auto"/>
        <w:jc w:val="center"/>
        <w:rPr>
          <w:b/>
          <w:bCs/>
          <w:sz w:val="28"/>
          <w:szCs w:val="28"/>
        </w:rPr>
      </w:pPr>
      <w:bookmarkStart w:id="272" w:name="_Toc25192"/>
      <w:r>
        <w:rPr>
          <w:rFonts w:hint="eastAsia"/>
          <w:b/>
          <w:bCs/>
          <w:sz w:val="28"/>
          <w:szCs w:val="28"/>
          <w:lang w:val="en-US"/>
        </w:rPr>
        <w:t>6</w:t>
      </w:r>
      <w:r>
        <w:rPr>
          <w:rFonts w:hint="eastAsia"/>
          <w:b/>
          <w:bCs/>
          <w:sz w:val="28"/>
          <w:szCs w:val="28"/>
        </w:rPr>
        <w:t>.承诺函</w:t>
      </w:r>
    </w:p>
    <w:p>
      <w:pPr>
        <w:adjustRightInd w:val="0"/>
        <w:snapToGrid w:val="0"/>
        <w:spacing w:line="360" w:lineRule="auto"/>
        <w:jc w:val="both"/>
        <w:rPr>
          <w:sz w:val="24"/>
          <w:szCs w:val="24"/>
        </w:rPr>
      </w:pPr>
      <w:r>
        <w:rPr>
          <w:rFonts w:hint="eastAsia"/>
          <w:sz w:val="24"/>
          <w:szCs w:val="24"/>
        </w:rPr>
        <w:t>致：佛山市顺德拍卖行有限公司</w:t>
      </w:r>
    </w:p>
    <w:p>
      <w:pPr>
        <w:adjustRightInd w:val="0"/>
        <w:snapToGrid w:val="0"/>
        <w:spacing w:line="360" w:lineRule="auto"/>
        <w:ind w:firstLine="424" w:firstLineChars="177"/>
        <w:jc w:val="both"/>
        <w:rPr>
          <w:sz w:val="24"/>
          <w:szCs w:val="24"/>
        </w:rPr>
      </w:pPr>
      <w:r>
        <w:rPr>
          <w:rFonts w:hint="eastAsia"/>
          <w:sz w:val="24"/>
          <w:szCs w:val="24"/>
          <w:u w:val="single"/>
        </w:rPr>
        <w:t xml:space="preserve">(竞投人)         </w:t>
      </w:r>
      <w:r>
        <w:rPr>
          <w:rFonts w:hint="eastAsia"/>
          <w:sz w:val="24"/>
          <w:szCs w:val="24"/>
        </w:rPr>
        <w:t>参加</w:t>
      </w:r>
      <w:r>
        <w:rPr>
          <w:rFonts w:hint="eastAsia"/>
          <w:sz w:val="24"/>
          <w:szCs w:val="24"/>
          <w:u w:val="single"/>
        </w:rPr>
        <w:t>容桂街道小黄圃社区眉蕉河沿岸、科龙职中以南地块一公开</w:t>
      </w:r>
      <w:r>
        <w:rPr>
          <w:rFonts w:hint="eastAsia"/>
          <w:sz w:val="24"/>
          <w:szCs w:val="24"/>
        </w:rPr>
        <w:t>招租竞投</w:t>
      </w:r>
      <w:r>
        <w:rPr>
          <w:rFonts w:hint="eastAsia"/>
          <w:sz w:val="24"/>
          <w:szCs w:val="24"/>
          <w:lang w:val="en-US"/>
        </w:rPr>
        <w:t>承租权招租项目（交易存档号：容时公【2023】20231107号），</w:t>
      </w:r>
      <w:r>
        <w:rPr>
          <w:rFonts w:hint="eastAsia"/>
          <w:sz w:val="24"/>
          <w:szCs w:val="24"/>
        </w:rPr>
        <w:t>现承诺以下：</w:t>
      </w:r>
    </w:p>
    <w:p>
      <w:pPr>
        <w:adjustRightInd w:val="0"/>
        <w:snapToGrid w:val="0"/>
        <w:spacing w:line="360" w:lineRule="auto"/>
        <w:jc w:val="both"/>
        <w:rPr>
          <w:sz w:val="24"/>
          <w:szCs w:val="24"/>
        </w:rPr>
      </w:pPr>
    </w:p>
    <w:p>
      <w:pPr>
        <w:adjustRightInd w:val="0"/>
        <w:snapToGrid w:val="0"/>
        <w:spacing w:line="360" w:lineRule="auto"/>
        <w:jc w:val="both"/>
        <w:rPr>
          <w:sz w:val="24"/>
          <w:szCs w:val="24"/>
        </w:rPr>
      </w:pPr>
      <w:r>
        <w:rPr>
          <w:rFonts w:hint="eastAsia"/>
          <w:sz w:val="24"/>
          <w:szCs w:val="24"/>
        </w:rPr>
        <w:t>1.我方没有拖欠出租人租金等相关款项。</w:t>
      </w:r>
    </w:p>
    <w:p>
      <w:pPr>
        <w:adjustRightInd w:val="0"/>
        <w:snapToGrid w:val="0"/>
        <w:spacing w:line="360" w:lineRule="auto"/>
        <w:jc w:val="both"/>
        <w:rPr>
          <w:sz w:val="24"/>
          <w:szCs w:val="24"/>
        </w:rPr>
      </w:pPr>
      <w:r>
        <w:rPr>
          <w:rFonts w:hint="eastAsia"/>
          <w:sz w:val="24"/>
          <w:szCs w:val="24"/>
        </w:rPr>
        <w:t>2.我方没有出现违反竞投规定、对出租人利益造成损害。</w:t>
      </w:r>
    </w:p>
    <w:p>
      <w:pPr>
        <w:adjustRightInd w:val="0"/>
        <w:snapToGrid w:val="0"/>
        <w:spacing w:line="360" w:lineRule="auto"/>
        <w:jc w:val="both"/>
        <w:rPr>
          <w:sz w:val="24"/>
          <w:szCs w:val="24"/>
        </w:rPr>
      </w:pPr>
      <w:r>
        <w:rPr>
          <w:rFonts w:hint="eastAsia"/>
          <w:sz w:val="24"/>
          <w:szCs w:val="24"/>
        </w:rPr>
        <w:t>3.我方没有出现违反竞投会场纪律、扰乱竞投秩序。</w:t>
      </w:r>
    </w:p>
    <w:p>
      <w:pPr>
        <w:adjustRightInd w:val="0"/>
        <w:snapToGrid w:val="0"/>
        <w:spacing w:line="360" w:lineRule="auto"/>
        <w:jc w:val="both"/>
        <w:rPr>
          <w:sz w:val="24"/>
          <w:szCs w:val="24"/>
        </w:rPr>
      </w:pPr>
      <w:r>
        <w:rPr>
          <w:rFonts w:hint="eastAsia"/>
          <w:sz w:val="24"/>
          <w:szCs w:val="24"/>
        </w:rPr>
        <w:t>4.其他竞投人认为承诺的内容。</w:t>
      </w:r>
    </w:p>
    <w:p>
      <w:pPr>
        <w:adjustRightInd w:val="0"/>
        <w:snapToGrid w:val="0"/>
        <w:spacing w:line="360" w:lineRule="auto"/>
        <w:jc w:val="both"/>
        <w:rPr>
          <w:sz w:val="24"/>
          <w:szCs w:val="24"/>
        </w:rPr>
      </w:pPr>
      <w:r>
        <w:rPr>
          <w:rFonts w:hint="eastAsia"/>
          <w:sz w:val="24"/>
          <w:szCs w:val="24"/>
        </w:rPr>
        <w:t>5、我方收到并已清楚知悉</w:t>
      </w:r>
      <w:r>
        <w:rPr>
          <w:rFonts w:hint="eastAsia"/>
          <w:sz w:val="24"/>
          <w:szCs w:val="24"/>
          <w:lang w:val="en-US"/>
        </w:rPr>
        <w:t>本公开招租文件的</w:t>
      </w:r>
      <w:r>
        <w:rPr>
          <w:rFonts w:hint="eastAsia"/>
          <w:sz w:val="24"/>
          <w:szCs w:val="24"/>
        </w:rPr>
        <w:t>所有条款及事项。</w:t>
      </w: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4"/>
          <w:szCs w:val="24"/>
        </w:rPr>
      </w:pPr>
      <w:r>
        <w:rPr>
          <w:rFonts w:hint="eastAsia"/>
          <w:sz w:val="24"/>
          <w:szCs w:val="24"/>
          <w:lang w:val="en-US"/>
        </w:rPr>
        <w:t>竞投单位（个人）或委托代理人（签章）：</w:t>
      </w: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rPr>
          <w:b/>
          <w:bCs/>
          <w:sz w:val="28"/>
          <w:szCs w:val="28"/>
        </w:rPr>
        <w:sectPr>
          <w:pgSz w:w="11910" w:h="16840"/>
          <w:pgMar w:top="1440" w:right="1080" w:bottom="1440" w:left="1080" w:header="0" w:footer="421" w:gutter="0"/>
          <w:cols w:space="720" w:num="1"/>
        </w:sectPr>
      </w:pPr>
    </w:p>
    <w:bookmarkEnd w:id="272"/>
    <w:p>
      <w:pPr>
        <w:pStyle w:val="3"/>
        <w:adjustRightInd w:val="0"/>
        <w:snapToGrid w:val="0"/>
        <w:spacing w:line="360" w:lineRule="auto"/>
        <w:rPr>
          <w:rFonts w:ascii="宋体" w:hAnsi="宋体" w:eastAsia="宋体" w:cs="宋体"/>
        </w:rPr>
      </w:pPr>
      <w:bookmarkStart w:id="273" w:name="_Toc10878"/>
      <w:bookmarkStart w:id="274" w:name="_Toc16400"/>
      <w:bookmarkStart w:id="275" w:name="_Toc25656126"/>
      <w:bookmarkStart w:id="276" w:name="_Toc13080"/>
      <w:bookmarkStart w:id="277" w:name="_Toc19966"/>
      <w:bookmarkStart w:id="278" w:name="_Toc15900"/>
      <w:bookmarkStart w:id="279" w:name="_Toc12728"/>
      <w:bookmarkStart w:id="280" w:name="_Toc8970_WPSOffice_Level2"/>
      <w:bookmarkStart w:id="281" w:name="_Toc25885"/>
      <w:bookmarkStart w:id="282" w:name="_Toc12457"/>
      <w:r>
        <w:rPr>
          <w:rFonts w:hint="eastAsia" w:ascii="宋体" w:hAnsi="宋体" w:eastAsia="宋体" w:cs="宋体"/>
          <w:lang w:val="en-US"/>
        </w:rPr>
        <w:t>六、号牌领取凭据</w:t>
      </w:r>
      <w:bookmarkEnd w:id="273"/>
      <w:bookmarkEnd w:id="274"/>
      <w:bookmarkEnd w:id="275"/>
      <w:bookmarkEnd w:id="276"/>
      <w:bookmarkEnd w:id="277"/>
      <w:bookmarkEnd w:id="278"/>
      <w:bookmarkEnd w:id="279"/>
      <w:bookmarkEnd w:id="280"/>
      <w:bookmarkEnd w:id="281"/>
      <w:bookmarkEnd w:id="282"/>
    </w:p>
    <w:p>
      <w:pPr>
        <w:adjustRightInd w:val="0"/>
        <w:snapToGrid w:val="0"/>
        <w:spacing w:line="360" w:lineRule="auto"/>
        <w:ind w:right="849"/>
        <w:jc w:val="both"/>
        <w:rPr>
          <w:b/>
          <w:sz w:val="32"/>
        </w:rPr>
      </w:pPr>
      <w:r>
        <mc:AlternateContent>
          <mc:Choice Requires="wps">
            <w:drawing>
              <wp:anchor distT="0" distB="0" distL="114300" distR="114300" simplePos="0" relativeHeight="251661312" behindDoc="1" locked="0" layoutInCell="1" allowOverlap="1">
                <wp:simplePos x="0" y="0"/>
                <wp:positionH relativeFrom="page">
                  <wp:posOffset>715010</wp:posOffset>
                </wp:positionH>
                <wp:positionV relativeFrom="paragraph">
                  <wp:posOffset>202565</wp:posOffset>
                </wp:positionV>
                <wp:extent cx="6250305" cy="2317115"/>
                <wp:effectExtent l="6350" t="6350" r="10795" b="19685"/>
                <wp:wrapNone/>
                <wp:docPr id="2" name="文本框 12"/>
                <wp:cNvGraphicFramePr/>
                <a:graphic xmlns:a="http://schemas.openxmlformats.org/drawingml/2006/main">
                  <a:graphicData uri="http://schemas.microsoft.com/office/word/2010/wordprocessingShape">
                    <wps:wsp>
                      <wps:cNvSpPr txBox="1"/>
                      <wps:spPr>
                        <a:xfrm>
                          <a:off x="0" y="0"/>
                          <a:ext cx="6250305" cy="2317115"/>
                        </a:xfrm>
                        <a:prstGeom prst="rect">
                          <a:avLst/>
                        </a:prstGeom>
                        <a:noFill/>
                        <a:ln w="12700" cap="flat" cmpd="sng">
                          <a:solidFill>
                            <a:srgbClr val="000000"/>
                          </a:solidFill>
                          <a:prstDash val="solid"/>
                          <a:miter/>
                          <a:headEnd type="none" w="med" len="med"/>
                          <a:tailEnd type="none" w="med" len="med"/>
                        </a:ln>
                        <a:effectLst/>
                      </wps:spPr>
                      <wps:txbx>
                        <w:txbxContent>
                          <w:p>
                            <w:pPr>
                              <w:pStyle w:val="9"/>
                              <w:tabs>
                                <w:tab w:val="left" w:pos="8949"/>
                              </w:tabs>
                              <w:ind w:left="189" w:right="-58"/>
                            </w:pPr>
                          </w:p>
                          <w:p>
                            <w:pPr>
                              <w:pStyle w:val="9"/>
                              <w:tabs>
                                <w:tab w:val="left" w:pos="8949"/>
                              </w:tabs>
                              <w:ind w:left="189" w:leftChars="86" w:right="-57" w:rightChars="-26" w:firstLine="480" w:firstLineChars="200"/>
                            </w:pPr>
                          </w:p>
                          <w:p>
                            <w:pPr>
                              <w:pStyle w:val="9"/>
                              <w:tabs>
                                <w:tab w:val="left" w:pos="8949"/>
                              </w:tabs>
                              <w:ind w:left="189" w:leftChars="86" w:right="-57" w:rightChars="-26" w:firstLine="560" w:firstLineChars="200"/>
                              <w:rPr>
                                <w:sz w:val="28"/>
                                <w:szCs w:val="28"/>
                              </w:rPr>
                            </w:pPr>
                            <w:r>
                              <w:rPr>
                                <w:rFonts w:hint="eastAsia"/>
                                <w:sz w:val="28"/>
                                <w:szCs w:val="28"/>
                              </w:rPr>
                              <w:t>佛山市顺德拍卖行有限公司接受申请，确认申请竞</w:t>
                            </w:r>
                            <w:r>
                              <w:rPr>
                                <w:rFonts w:hint="eastAsia"/>
                                <w:sz w:val="28"/>
                                <w:szCs w:val="28"/>
                                <w:lang w:val="en-US"/>
                              </w:rPr>
                              <w:t>投</w:t>
                            </w:r>
                            <w:r>
                              <w:rPr>
                                <w:rFonts w:hint="eastAsia"/>
                                <w:sz w:val="28"/>
                                <w:szCs w:val="28"/>
                              </w:rPr>
                              <w:t>人的竞</w:t>
                            </w:r>
                            <w:r>
                              <w:rPr>
                                <w:rFonts w:hint="eastAsia"/>
                                <w:sz w:val="28"/>
                                <w:szCs w:val="28"/>
                                <w:lang w:val="en-US"/>
                              </w:rPr>
                              <w:t>投</w:t>
                            </w:r>
                            <w:r>
                              <w:rPr>
                                <w:rFonts w:hint="eastAsia"/>
                                <w:sz w:val="28"/>
                                <w:szCs w:val="28"/>
                              </w:rPr>
                              <w:t xml:space="preserve">牌号为号。  </w:t>
                            </w:r>
                          </w:p>
                          <w:p>
                            <w:pPr>
                              <w:pStyle w:val="9"/>
                              <w:spacing w:before="158"/>
                              <w:ind w:left="103"/>
                              <w:rPr>
                                <w:sz w:val="28"/>
                                <w:szCs w:val="28"/>
                              </w:rPr>
                            </w:pPr>
                          </w:p>
                          <w:p>
                            <w:pPr>
                              <w:pStyle w:val="9"/>
                              <w:spacing w:before="160"/>
                              <w:ind w:left="103"/>
                              <w:rPr>
                                <w:sz w:val="28"/>
                                <w:szCs w:val="28"/>
                              </w:rPr>
                            </w:pPr>
                            <w:r>
                              <w:rPr>
                                <w:rFonts w:hint="eastAsia"/>
                                <w:sz w:val="28"/>
                                <w:szCs w:val="28"/>
                              </w:rPr>
                              <w:t xml:space="preserve">领号牌人签名：  </w:t>
                            </w:r>
                          </w:p>
                          <w:p>
                            <w:pPr>
                              <w:pStyle w:val="9"/>
                              <w:spacing w:before="161"/>
                              <w:ind w:left="103"/>
                              <w:rPr>
                                <w:sz w:val="28"/>
                                <w:szCs w:val="28"/>
                              </w:rPr>
                            </w:pPr>
                            <w:r>
                              <w:rPr>
                                <w:rFonts w:hint="eastAsia"/>
                                <w:sz w:val="28"/>
                                <w:szCs w:val="28"/>
                              </w:rPr>
                              <w:t>（</w:t>
                            </w:r>
                            <w:r>
                              <w:rPr>
                                <w:rFonts w:hint="eastAsia"/>
                                <w:color w:val="000000"/>
                                <w:sz w:val="28"/>
                                <w:szCs w:val="28"/>
                                <w:lang w:val="en-US"/>
                              </w:rPr>
                              <w:t>竞投单位（个人）</w:t>
                            </w:r>
                            <w:r>
                              <w:rPr>
                                <w:rFonts w:hint="eastAsia"/>
                                <w:sz w:val="28"/>
                                <w:szCs w:val="28"/>
                              </w:rPr>
                              <w:t>或委托</w:t>
                            </w:r>
                            <w:r>
                              <w:rPr>
                                <w:rFonts w:hint="eastAsia"/>
                                <w:sz w:val="28"/>
                                <w:szCs w:val="28"/>
                                <w:lang w:val="en-US"/>
                              </w:rPr>
                              <w:t>代理</w:t>
                            </w:r>
                            <w:r>
                              <w:rPr>
                                <w:rFonts w:hint="eastAsia"/>
                                <w:sz w:val="28"/>
                                <w:szCs w:val="28"/>
                              </w:rPr>
                              <w:t xml:space="preserve">人签名） </w:t>
                            </w:r>
                          </w:p>
                        </w:txbxContent>
                      </wps:txbx>
                      <wps:bodyPr lIns="0" tIns="0" rIns="0" bIns="0" upright="1"/>
                    </wps:wsp>
                  </a:graphicData>
                </a:graphic>
              </wp:anchor>
            </w:drawing>
          </mc:Choice>
          <mc:Fallback>
            <w:pict>
              <v:shape id="文本框 12" o:spid="_x0000_s1026" o:spt="202" type="#_x0000_t202" style="position:absolute;left:0pt;margin-left:56.3pt;margin-top:15.95pt;height:182.45pt;width:492.15pt;mso-position-horizontal-relative:page;z-index:-251655168;mso-width-relative:page;mso-height-relative:page;" filled="f" stroked="t" coordsize="21600,21600" o:gfxdata="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28Ld2QAAAAsB&#10;AAAPAAAAAAAAAAEAIAAAACIAAABkcnMvZG93bnJldi54bWxQSwECFAAUAAAACACHTuJAiPZ2yRoC&#10;AABCBAAADgAAAAAAAAABACAAAAAoAQAAZHJzL2Uyb0RvYy54bWxQSwUGAAAAAAYABgBZAQAAtAUA&#10;AAAA&#10;">
                <v:fill on="f" focussize="0,0"/>
                <v:stroke weight="1pt" color="#000000" joinstyle="miter"/>
                <v:imagedata o:title=""/>
                <o:lock v:ext="edit" aspectratio="f"/>
                <v:textbox inset="0mm,0mm,0mm,0mm">
                  <w:txbxContent>
                    <w:p>
                      <w:pPr>
                        <w:pStyle w:val="9"/>
                        <w:tabs>
                          <w:tab w:val="left" w:pos="8949"/>
                        </w:tabs>
                        <w:ind w:left="189" w:right="-58"/>
                      </w:pPr>
                    </w:p>
                    <w:p>
                      <w:pPr>
                        <w:pStyle w:val="9"/>
                        <w:tabs>
                          <w:tab w:val="left" w:pos="8949"/>
                        </w:tabs>
                        <w:ind w:left="189" w:leftChars="86" w:right="-57" w:rightChars="-26" w:firstLine="480" w:firstLineChars="200"/>
                      </w:pPr>
                    </w:p>
                    <w:p>
                      <w:pPr>
                        <w:pStyle w:val="9"/>
                        <w:tabs>
                          <w:tab w:val="left" w:pos="8949"/>
                        </w:tabs>
                        <w:ind w:left="189" w:leftChars="86" w:right="-57" w:rightChars="-26" w:firstLine="560" w:firstLineChars="200"/>
                        <w:rPr>
                          <w:sz w:val="28"/>
                          <w:szCs w:val="28"/>
                        </w:rPr>
                      </w:pPr>
                      <w:r>
                        <w:rPr>
                          <w:rFonts w:hint="eastAsia"/>
                          <w:sz w:val="28"/>
                          <w:szCs w:val="28"/>
                        </w:rPr>
                        <w:t>佛山市顺德拍卖行有限公司接受申请，确认申请竞</w:t>
                      </w:r>
                      <w:r>
                        <w:rPr>
                          <w:rFonts w:hint="eastAsia"/>
                          <w:sz w:val="28"/>
                          <w:szCs w:val="28"/>
                          <w:lang w:val="en-US"/>
                        </w:rPr>
                        <w:t>投</w:t>
                      </w:r>
                      <w:r>
                        <w:rPr>
                          <w:rFonts w:hint="eastAsia"/>
                          <w:sz w:val="28"/>
                          <w:szCs w:val="28"/>
                        </w:rPr>
                        <w:t>人的竞</w:t>
                      </w:r>
                      <w:r>
                        <w:rPr>
                          <w:rFonts w:hint="eastAsia"/>
                          <w:sz w:val="28"/>
                          <w:szCs w:val="28"/>
                          <w:lang w:val="en-US"/>
                        </w:rPr>
                        <w:t>投</w:t>
                      </w:r>
                      <w:r>
                        <w:rPr>
                          <w:rFonts w:hint="eastAsia"/>
                          <w:sz w:val="28"/>
                          <w:szCs w:val="28"/>
                        </w:rPr>
                        <w:t xml:space="preserve">牌号为号。  </w:t>
                      </w:r>
                    </w:p>
                    <w:p>
                      <w:pPr>
                        <w:pStyle w:val="9"/>
                        <w:spacing w:before="158"/>
                        <w:ind w:left="103"/>
                        <w:rPr>
                          <w:sz w:val="28"/>
                          <w:szCs w:val="28"/>
                        </w:rPr>
                      </w:pPr>
                    </w:p>
                    <w:p>
                      <w:pPr>
                        <w:pStyle w:val="9"/>
                        <w:spacing w:before="160"/>
                        <w:ind w:left="103"/>
                        <w:rPr>
                          <w:sz w:val="28"/>
                          <w:szCs w:val="28"/>
                        </w:rPr>
                      </w:pPr>
                      <w:r>
                        <w:rPr>
                          <w:rFonts w:hint="eastAsia"/>
                          <w:sz w:val="28"/>
                          <w:szCs w:val="28"/>
                        </w:rPr>
                        <w:t xml:space="preserve">领号牌人签名：  </w:t>
                      </w:r>
                    </w:p>
                    <w:p>
                      <w:pPr>
                        <w:pStyle w:val="9"/>
                        <w:spacing w:before="161"/>
                        <w:ind w:left="103"/>
                        <w:rPr>
                          <w:sz w:val="28"/>
                          <w:szCs w:val="28"/>
                        </w:rPr>
                      </w:pPr>
                      <w:r>
                        <w:rPr>
                          <w:rFonts w:hint="eastAsia"/>
                          <w:sz w:val="28"/>
                          <w:szCs w:val="28"/>
                        </w:rPr>
                        <w:t>（</w:t>
                      </w:r>
                      <w:r>
                        <w:rPr>
                          <w:rFonts w:hint="eastAsia"/>
                          <w:color w:val="000000"/>
                          <w:sz w:val="28"/>
                          <w:szCs w:val="28"/>
                          <w:lang w:val="en-US"/>
                        </w:rPr>
                        <w:t>竞投单位（个人）</w:t>
                      </w:r>
                      <w:r>
                        <w:rPr>
                          <w:rFonts w:hint="eastAsia"/>
                          <w:sz w:val="28"/>
                          <w:szCs w:val="28"/>
                        </w:rPr>
                        <w:t>或委托</w:t>
                      </w:r>
                      <w:r>
                        <w:rPr>
                          <w:rFonts w:hint="eastAsia"/>
                          <w:sz w:val="28"/>
                          <w:szCs w:val="28"/>
                          <w:lang w:val="en-US"/>
                        </w:rPr>
                        <w:t>代理</w:t>
                      </w:r>
                      <w:r>
                        <w:rPr>
                          <w:rFonts w:hint="eastAsia"/>
                          <w:sz w:val="28"/>
                          <w:szCs w:val="28"/>
                        </w:rPr>
                        <w:t xml:space="preserve">人签名） </w:t>
                      </w:r>
                    </w:p>
                  </w:txbxContent>
                </v:textbox>
              </v:shape>
            </w:pict>
          </mc:Fallback>
        </mc:AlternateContent>
      </w:r>
    </w:p>
    <w:p>
      <w:pPr>
        <w:adjustRightInd w:val="0"/>
        <w:snapToGrid w:val="0"/>
        <w:spacing w:line="360" w:lineRule="auto"/>
        <w:ind w:right="849"/>
        <w:jc w:val="both"/>
        <w:rPr>
          <w:b/>
          <w:sz w:val="32"/>
        </w:rPr>
      </w:pPr>
    </w:p>
    <w:p>
      <w:pPr>
        <w:adjustRightInd w:val="0"/>
        <w:snapToGrid w:val="0"/>
        <w:spacing w:line="360" w:lineRule="auto"/>
        <w:ind w:right="849"/>
        <w:jc w:val="both"/>
        <w:rPr>
          <w:b/>
          <w:sz w:val="32"/>
        </w:rPr>
      </w:pPr>
    </w:p>
    <w:p>
      <w:pPr>
        <w:adjustRightInd w:val="0"/>
        <w:snapToGrid w:val="0"/>
        <w:spacing w:line="360" w:lineRule="auto"/>
        <w:jc w:val="both"/>
        <w:rPr>
          <w:sz w:val="21"/>
          <w:lang w:val="en-US"/>
        </w:rPr>
        <w:sectPr>
          <w:pgSz w:w="11910" w:h="16840"/>
          <w:pgMar w:top="1440" w:right="1080" w:bottom="1440" w:left="1080" w:header="0" w:footer="421" w:gutter="0"/>
          <w:cols w:space="720" w:num="1"/>
        </w:sectPr>
      </w:pPr>
    </w:p>
    <w:p>
      <w:pPr>
        <w:pStyle w:val="9"/>
        <w:adjustRightInd w:val="0"/>
        <w:snapToGrid w:val="0"/>
        <w:spacing w:line="360" w:lineRule="auto"/>
        <w:jc w:val="center"/>
        <w:rPr>
          <w:sz w:val="20"/>
        </w:rPr>
      </w:pPr>
    </w:p>
    <w:p>
      <w:pPr>
        <w:pStyle w:val="3"/>
        <w:adjustRightInd w:val="0"/>
        <w:snapToGrid w:val="0"/>
        <w:spacing w:line="360" w:lineRule="auto"/>
        <w:rPr>
          <w:rFonts w:ascii="宋体" w:hAnsi="宋体" w:eastAsia="宋体" w:cs="宋体"/>
          <w:sz w:val="36"/>
        </w:rPr>
      </w:pPr>
      <w:bookmarkStart w:id="283" w:name="_Toc13737"/>
      <w:bookmarkStart w:id="284" w:name="_Toc178"/>
      <w:bookmarkStart w:id="285" w:name="_Toc19603"/>
      <w:bookmarkStart w:id="286" w:name="_Toc31519"/>
      <w:bookmarkStart w:id="287" w:name="_Toc12019"/>
      <w:bookmarkStart w:id="288" w:name="_Toc23449"/>
      <w:bookmarkStart w:id="289" w:name="_Toc25656127"/>
      <w:bookmarkStart w:id="290" w:name="_Toc6763"/>
      <w:bookmarkStart w:id="291" w:name="_Toc12503"/>
      <w:bookmarkStart w:id="292" w:name="_Toc5418_WPSOffice_Level2"/>
      <w:bookmarkStart w:id="293" w:name="_Toc4644_WPSOffice_Level2"/>
      <w:bookmarkStart w:id="294" w:name="_Toc3278_WPSOffice_Level1"/>
      <w:bookmarkStart w:id="295" w:name="_Toc6635_WPSOffice_Level2"/>
      <w:r>
        <w:rPr>
          <w:rFonts w:hint="eastAsia" w:ascii="宋体" w:hAnsi="宋体" w:eastAsia="宋体" w:cs="宋体"/>
          <w:sz w:val="36"/>
        </w:rPr>
        <w:t>七、竞投资格审核书</w:t>
      </w:r>
      <w:bookmarkEnd w:id="283"/>
      <w:bookmarkEnd w:id="284"/>
      <w:bookmarkEnd w:id="285"/>
      <w:bookmarkEnd w:id="286"/>
      <w:bookmarkEnd w:id="287"/>
      <w:bookmarkEnd w:id="288"/>
      <w:bookmarkEnd w:id="289"/>
      <w:bookmarkEnd w:id="290"/>
    </w:p>
    <w:p>
      <w:pPr>
        <w:pStyle w:val="3"/>
        <w:adjustRightInd w:val="0"/>
        <w:snapToGrid w:val="0"/>
        <w:spacing w:line="360" w:lineRule="auto"/>
        <w:rPr>
          <w:rFonts w:ascii="宋体" w:hAnsi="宋体" w:eastAsia="宋体" w:cs="宋体"/>
          <w:sz w:val="36"/>
        </w:rPr>
      </w:pPr>
      <w:bookmarkStart w:id="296" w:name="_Toc24828"/>
      <w:bookmarkStart w:id="297" w:name="_Toc3075"/>
      <w:bookmarkStart w:id="298" w:name="_Toc21141"/>
      <w:bookmarkStart w:id="299" w:name="_Toc12988"/>
      <w:bookmarkStart w:id="300" w:name="_Toc5285"/>
      <w:bookmarkStart w:id="301" w:name="_Toc2238"/>
      <w:r>
        <w:rPr>
          <w:rFonts w:hint="eastAsia" w:ascii="宋体" w:hAnsi="宋体" w:eastAsia="宋体" w:cs="宋体"/>
          <w:sz w:val="36"/>
        </w:rPr>
        <w:t>（需资质审核时使用）</w:t>
      </w:r>
      <w:bookmarkEnd w:id="291"/>
      <w:bookmarkEnd w:id="296"/>
      <w:bookmarkEnd w:id="297"/>
      <w:bookmarkEnd w:id="298"/>
      <w:bookmarkEnd w:id="299"/>
      <w:bookmarkEnd w:id="300"/>
      <w:bookmarkEnd w:id="301"/>
    </w:p>
    <w:p>
      <w:pPr>
        <w:adjustRightInd w:val="0"/>
        <w:snapToGrid w:val="0"/>
        <w:spacing w:line="360" w:lineRule="auto"/>
        <w:jc w:val="center"/>
        <w:rPr>
          <w:sz w:val="21"/>
        </w:rPr>
      </w:pPr>
    </w:p>
    <w:p>
      <w:pPr>
        <w:adjustRightInd w:val="0"/>
        <w:snapToGrid w:val="0"/>
        <w:spacing w:line="360" w:lineRule="auto"/>
        <w:jc w:val="center"/>
        <w:rPr>
          <w:sz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321945</wp:posOffset>
                </wp:positionH>
                <wp:positionV relativeFrom="paragraph">
                  <wp:posOffset>15875</wp:posOffset>
                </wp:positionV>
                <wp:extent cx="5671185" cy="5187950"/>
                <wp:effectExtent l="6350" t="6350" r="18415" b="6350"/>
                <wp:wrapNone/>
                <wp:docPr id="3" name="文本框 14"/>
                <wp:cNvGraphicFramePr/>
                <a:graphic xmlns:a="http://schemas.openxmlformats.org/drawingml/2006/main">
                  <a:graphicData uri="http://schemas.microsoft.com/office/word/2010/wordprocessingShape">
                    <wps:wsp>
                      <wps:cNvSpPr txBox="1"/>
                      <wps:spPr>
                        <a:xfrm>
                          <a:off x="0" y="0"/>
                          <a:ext cx="5671185" cy="51879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before="6"/>
                              <w:ind w:left="2638" w:right="2791"/>
                              <w:jc w:val="center"/>
                              <w:rPr>
                                <w:rFonts w:ascii="微软雅黑" w:eastAsia="微软雅黑"/>
                                <w:sz w:val="36"/>
                              </w:rPr>
                            </w:pPr>
                            <w:r>
                              <w:rPr>
                                <w:rFonts w:hint="eastAsia" w:ascii="微软雅黑" w:eastAsia="微软雅黑"/>
                                <w:sz w:val="36"/>
                              </w:rPr>
                              <w:t>竞投资格审核书</w:t>
                            </w:r>
                          </w:p>
                          <w:p>
                            <w:pPr>
                              <w:pStyle w:val="9"/>
                              <w:spacing w:before="17"/>
                              <w:jc w:val="center"/>
                              <w:rPr>
                                <w:rFonts w:ascii="微软雅黑"/>
                                <w:sz w:val="29"/>
                              </w:rPr>
                            </w:pPr>
                          </w:p>
                          <w:p>
                            <w:pPr>
                              <w:pStyle w:val="5"/>
                              <w:tabs>
                                <w:tab w:val="left" w:pos="8366"/>
                              </w:tabs>
                              <w:spacing w:line="368" w:lineRule="auto"/>
                              <w:ind w:left="1922" w:leftChars="348" w:right="568" w:rightChars="258" w:hanging="1156" w:hangingChars="400"/>
                              <w:rPr>
                                <w:b/>
                                <w:bCs/>
                                <w:spacing w:val="4"/>
                              </w:rPr>
                            </w:pPr>
                            <w:r>
                              <w:rPr>
                                <w:b/>
                                <w:bCs/>
                                <w:spacing w:val="4"/>
                              </w:rPr>
                              <w:t>资格审核</w:t>
                            </w:r>
                            <w:r>
                              <w:rPr>
                                <w:b/>
                                <w:bCs/>
                              </w:rPr>
                              <w:t>结</w:t>
                            </w:r>
                            <w:r>
                              <w:rPr>
                                <w:b/>
                                <w:bCs/>
                                <w:spacing w:val="4"/>
                              </w:rPr>
                              <w:t>果：经审核（填同</w:t>
                            </w:r>
                            <w:r>
                              <w:rPr>
                                <w:b/>
                                <w:bCs/>
                              </w:rPr>
                              <w:t>意</w:t>
                            </w:r>
                            <w:r>
                              <w:rPr>
                                <w:b/>
                                <w:bCs/>
                                <w:spacing w:val="4"/>
                              </w:rPr>
                              <w:t>或不同意）</w:t>
                            </w:r>
                            <w:r>
                              <w:rPr>
                                <w:rFonts w:hint="eastAsia"/>
                                <w:b/>
                                <w:bCs/>
                                <w:spacing w:val="4"/>
                                <w:lang w:val="en-US"/>
                              </w:rPr>
                              <w:t>(审</w:t>
                            </w:r>
                            <w:r>
                              <w:rPr>
                                <w:b/>
                                <w:bCs/>
                                <w:spacing w:val="4"/>
                              </w:rPr>
                              <w:t>请</w:t>
                            </w:r>
                            <w:r>
                              <w:rPr>
                                <w:b/>
                                <w:bCs/>
                              </w:rPr>
                              <w:t>人</w:t>
                            </w:r>
                            <w:r>
                              <w:rPr>
                                <w:rFonts w:hint="eastAsia"/>
                                <w:b/>
                                <w:bCs/>
                                <w:lang w:val="en-US"/>
                              </w:rPr>
                              <w:t>名称）</w:t>
                            </w:r>
                            <w:r>
                              <w:rPr>
                                <w:b/>
                                <w:bCs/>
                                <w:spacing w:val="4"/>
                              </w:rPr>
                              <w:t>的</w:t>
                            </w:r>
                            <w:r>
                              <w:rPr>
                                <w:b/>
                                <w:bCs/>
                                <w:spacing w:val="-5"/>
                              </w:rPr>
                              <w:t>竞</w:t>
                            </w:r>
                            <w:r>
                              <w:rPr>
                                <w:b/>
                                <w:bCs/>
                                <w:spacing w:val="4"/>
                              </w:rPr>
                              <w:t>投申请。</w:t>
                            </w:r>
                          </w:p>
                          <w:p>
                            <w:pPr>
                              <w:pStyle w:val="5"/>
                              <w:tabs>
                                <w:tab w:val="left" w:pos="8366"/>
                              </w:tabs>
                              <w:spacing w:line="368" w:lineRule="auto"/>
                              <w:ind w:left="1890" w:leftChars="348" w:right="568" w:rightChars="258" w:hanging="1124" w:hangingChars="400"/>
                              <w:rPr>
                                <w:b/>
                                <w:bCs/>
                                <w:spacing w:val="-3"/>
                              </w:rPr>
                            </w:pPr>
                            <w:r>
                              <w:rPr>
                                <w:b/>
                                <w:bCs/>
                              </w:rPr>
                              <w:t>不通过审查的原因</w:t>
                            </w:r>
                            <w:r>
                              <w:rPr>
                                <w:b/>
                                <w:bCs/>
                                <w:spacing w:val="-3"/>
                              </w:rPr>
                              <w:t>：</w:t>
                            </w:r>
                          </w:p>
                          <w:p>
                            <w:pPr>
                              <w:pStyle w:val="5"/>
                              <w:tabs>
                                <w:tab w:val="left" w:pos="8366"/>
                              </w:tabs>
                              <w:spacing w:line="368" w:lineRule="auto"/>
                              <w:ind w:left="567" w:right="567"/>
                              <w:rPr>
                                <w:b/>
                                <w:bCs/>
                                <w:spacing w:val="-3"/>
                                <w:u w:val="single"/>
                              </w:rPr>
                            </w:pPr>
                            <w:r>
                              <w:rPr>
                                <w:b/>
                                <w:bCs/>
                                <w:spacing w:val="-3"/>
                                <w:u w:val="single"/>
                              </w:rPr>
                              <w:tab/>
                            </w:r>
                          </w:p>
                          <w:p>
                            <w:pPr>
                              <w:pStyle w:val="5"/>
                              <w:tabs>
                                <w:tab w:val="left" w:pos="8366"/>
                              </w:tabs>
                              <w:spacing w:line="368" w:lineRule="auto"/>
                              <w:ind w:left="568" w:leftChars="258" w:right="568" w:rightChars="258" w:firstLine="138" w:firstLineChars="49"/>
                              <w:rPr>
                                <w:b/>
                                <w:bCs/>
                              </w:rPr>
                            </w:pPr>
                            <w:r>
                              <w:rPr>
                                <w:b/>
                                <w:bCs/>
                              </w:rPr>
                              <w:t>。</w:t>
                            </w:r>
                          </w:p>
                          <w:p>
                            <w:pPr>
                              <w:pStyle w:val="5"/>
                              <w:spacing w:line="358" w:lineRule="exact"/>
                              <w:ind w:left="1087"/>
                              <w:jc w:val="center"/>
                              <w:rPr>
                                <w:rFonts w:ascii="黑体" w:eastAsia="黑体"/>
                              </w:rPr>
                            </w:pPr>
                          </w:p>
                          <w:p>
                            <w:pPr>
                              <w:pStyle w:val="5"/>
                              <w:spacing w:line="358" w:lineRule="exact"/>
                              <w:ind w:left="1087"/>
                              <w:jc w:val="center"/>
                              <w:rPr>
                                <w:rFonts w:ascii="黑体" w:eastAsia="黑体"/>
                              </w:rPr>
                            </w:pPr>
                            <w:r>
                              <w:rPr>
                                <w:rFonts w:hint="eastAsia" w:ascii="黑体" w:eastAsia="黑体"/>
                              </w:rPr>
                              <w:t>竞投人签名确认：</w:t>
                            </w:r>
                          </w:p>
                          <w:p>
                            <w:pPr>
                              <w:pStyle w:val="9"/>
                              <w:jc w:val="center"/>
                              <w:rPr>
                                <w:rFonts w:ascii="黑体"/>
                                <w:sz w:val="28"/>
                              </w:rPr>
                            </w:pPr>
                          </w:p>
                          <w:p>
                            <w:pPr>
                              <w:pStyle w:val="9"/>
                              <w:spacing w:before="6"/>
                              <w:jc w:val="center"/>
                              <w:rPr>
                                <w:rFonts w:ascii="黑体"/>
                                <w:sz w:val="28"/>
                              </w:rPr>
                            </w:pPr>
                          </w:p>
                          <w:p>
                            <w:pPr>
                              <w:tabs>
                                <w:tab w:val="left" w:pos="5707"/>
                              </w:tabs>
                              <w:ind w:left="1087"/>
                              <w:jc w:val="center"/>
                              <w:rPr>
                                <w:rFonts w:ascii="黑体" w:eastAsia="黑体"/>
                                <w:sz w:val="28"/>
                              </w:rPr>
                            </w:pPr>
                            <w:r>
                              <w:rPr>
                                <w:rFonts w:hint="eastAsia" w:ascii="黑体" w:eastAsia="黑体"/>
                                <w:sz w:val="28"/>
                              </w:rPr>
                              <w:t>出</w:t>
                            </w:r>
                            <w:r>
                              <w:rPr>
                                <w:rFonts w:hint="eastAsia" w:ascii="黑体" w:eastAsia="黑体"/>
                                <w:spacing w:val="-5"/>
                                <w:sz w:val="28"/>
                              </w:rPr>
                              <w:t>租</w:t>
                            </w:r>
                            <w:r>
                              <w:rPr>
                                <w:rFonts w:hint="eastAsia" w:ascii="黑体" w:eastAsia="黑体"/>
                                <w:sz w:val="28"/>
                              </w:rPr>
                              <w:t>人</w:t>
                            </w:r>
                            <w:r>
                              <w:rPr>
                                <w:rFonts w:hint="eastAsia" w:ascii="黑体" w:eastAsia="黑体"/>
                                <w:spacing w:val="-3"/>
                                <w:sz w:val="28"/>
                              </w:rPr>
                              <w:t>代表</w:t>
                            </w:r>
                            <w:r>
                              <w:rPr>
                                <w:rFonts w:hint="eastAsia" w:ascii="黑体" w:eastAsia="黑体"/>
                                <w:sz w:val="28"/>
                              </w:rPr>
                              <w:t>：</w:t>
                            </w:r>
                          </w:p>
                          <w:p>
                            <w:pPr>
                              <w:tabs>
                                <w:tab w:val="left" w:pos="5707"/>
                              </w:tabs>
                              <w:ind w:left="1087"/>
                              <w:jc w:val="center"/>
                              <w:rPr>
                                <w:rFonts w:ascii="黑体" w:eastAsia="黑体"/>
                                <w:sz w:val="28"/>
                              </w:rPr>
                            </w:pPr>
                          </w:p>
                          <w:p>
                            <w:pPr>
                              <w:tabs>
                                <w:tab w:val="left" w:pos="5707"/>
                              </w:tabs>
                              <w:ind w:left="1087"/>
                              <w:jc w:val="center"/>
                              <w:rPr>
                                <w:rFonts w:ascii="黑体" w:eastAsia="黑体"/>
                                <w:sz w:val="28"/>
                              </w:rPr>
                            </w:pPr>
                          </w:p>
                          <w:p>
                            <w:pPr>
                              <w:tabs>
                                <w:tab w:val="left" w:pos="5707"/>
                              </w:tabs>
                              <w:ind w:left="1087"/>
                              <w:jc w:val="center"/>
                              <w:rPr>
                                <w:rFonts w:ascii="黑体" w:eastAsia="黑体"/>
                                <w:sz w:val="28"/>
                              </w:rPr>
                            </w:pPr>
                            <w:r>
                              <w:rPr>
                                <w:rFonts w:hint="eastAsia" w:ascii="黑体" w:eastAsia="黑体"/>
                                <w:sz w:val="28"/>
                                <w:lang w:val="en-US"/>
                              </w:rPr>
                              <w:t>交易代理机构代表：</w:t>
                            </w:r>
                          </w:p>
                          <w:p>
                            <w:pPr>
                              <w:pStyle w:val="9"/>
                              <w:jc w:val="center"/>
                              <w:rPr>
                                <w:rFonts w:ascii="黑体"/>
                                <w:sz w:val="28"/>
                              </w:rPr>
                            </w:pPr>
                          </w:p>
                          <w:p>
                            <w:pPr>
                              <w:pStyle w:val="9"/>
                              <w:jc w:val="center"/>
                              <w:rPr>
                                <w:rFonts w:ascii="黑体"/>
                                <w:sz w:val="28"/>
                              </w:rPr>
                            </w:pPr>
                          </w:p>
                          <w:p>
                            <w:pPr>
                              <w:jc w:val="center"/>
                              <w:rPr>
                                <w:lang w:val="en-US"/>
                              </w:rPr>
                            </w:pPr>
                          </w:p>
                        </w:txbxContent>
                      </wps:txbx>
                      <wps:bodyPr upright="1"/>
                    </wps:wsp>
                  </a:graphicData>
                </a:graphic>
              </wp:anchor>
            </w:drawing>
          </mc:Choice>
          <mc:Fallback>
            <w:pict>
              <v:shape id="文本框 14" o:spid="_x0000_s1026" o:spt="202" type="#_x0000_t202" style="position:absolute;left:0pt;margin-left:25.35pt;margin-top:1.25pt;height:408.5pt;width:446.55pt;z-index:251662336;mso-width-relative:page;mso-height-relative:page;" fillcolor="#FFFFFF" filled="t" stroked="t" coordsize="21600,21600" o:gfxdata="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jMtn2wAAAAgBAAAP&#10;AAAAAAAAAAEAIAAAACIAAABkcnMvZG93bnJldi54bWxQSwECFAAUAAAACACHTuJAh1oAoRUCAABH&#10;BAAADgAAAAAAAAABACAAAAAqAQAAZHJzL2Uyb0RvYy54bWxQSwUGAAAAAAYABgBZAQAAsQUAAAAA&#10;">
                <v:fill on="t" focussize="0,0"/>
                <v:stroke weight="1pt" color="#000000" joinstyle="miter"/>
                <v:imagedata o:title=""/>
                <o:lock v:ext="edit" aspectratio="f"/>
                <v:textbox>
                  <w:txbxContent>
                    <w:p>
                      <w:pPr>
                        <w:spacing w:before="6"/>
                        <w:ind w:left="2638" w:right="2791"/>
                        <w:jc w:val="center"/>
                        <w:rPr>
                          <w:rFonts w:ascii="微软雅黑" w:eastAsia="微软雅黑"/>
                          <w:sz w:val="36"/>
                        </w:rPr>
                      </w:pPr>
                      <w:r>
                        <w:rPr>
                          <w:rFonts w:hint="eastAsia" w:ascii="微软雅黑" w:eastAsia="微软雅黑"/>
                          <w:sz w:val="36"/>
                        </w:rPr>
                        <w:t>竞投资格审核书</w:t>
                      </w:r>
                    </w:p>
                    <w:p>
                      <w:pPr>
                        <w:pStyle w:val="9"/>
                        <w:spacing w:before="17"/>
                        <w:jc w:val="center"/>
                        <w:rPr>
                          <w:rFonts w:ascii="微软雅黑"/>
                          <w:sz w:val="29"/>
                        </w:rPr>
                      </w:pPr>
                    </w:p>
                    <w:p>
                      <w:pPr>
                        <w:pStyle w:val="5"/>
                        <w:tabs>
                          <w:tab w:val="left" w:pos="8366"/>
                        </w:tabs>
                        <w:spacing w:line="368" w:lineRule="auto"/>
                        <w:ind w:left="1922" w:leftChars="348" w:right="568" w:rightChars="258" w:hanging="1156" w:hangingChars="400"/>
                        <w:rPr>
                          <w:b/>
                          <w:bCs/>
                          <w:spacing w:val="4"/>
                        </w:rPr>
                      </w:pPr>
                      <w:r>
                        <w:rPr>
                          <w:b/>
                          <w:bCs/>
                          <w:spacing w:val="4"/>
                        </w:rPr>
                        <w:t>资格审核</w:t>
                      </w:r>
                      <w:r>
                        <w:rPr>
                          <w:b/>
                          <w:bCs/>
                        </w:rPr>
                        <w:t>结</w:t>
                      </w:r>
                      <w:r>
                        <w:rPr>
                          <w:b/>
                          <w:bCs/>
                          <w:spacing w:val="4"/>
                        </w:rPr>
                        <w:t>果：经审核（填同</w:t>
                      </w:r>
                      <w:r>
                        <w:rPr>
                          <w:b/>
                          <w:bCs/>
                        </w:rPr>
                        <w:t>意</w:t>
                      </w:r>
                      <w:r>
                        <w:rPr>
                          <w:b/>
                          <w:bCs/>
                          <w:spacing w:val="4"/>
                        </w:rPr>
                        <w:t>或不同意）</w:t>
                      </w:r>
                      <w:r>
                        <w:rPr>
                          <w:rFonts w:hint="eastAsia"/>
                          <w:b/>
                          <w:bCs/>
                          <w:spacing w:val="4"/>
                          <w:lang w:val="en-US"/>
                        </w:rPr>
                        <w:t>(审</w:t>
                      </w:r>
                      <w:r>
                        <w:rPr>
                          <w:b/>
                          <w:bCs/>
                          <w:spacing w:val="4"/>
                        </w:rPr>
                        <w:t>请</w:t>
                      </w:r>
                      <w:r>
                        <w:rPr>
                          <w:b/>
                          <w:bCs/>
                        </w:rPr>
                        <w:t>人</w:t>
                      </w:r>
                      <w:r>
                        <w:rPr>
                          <w:rFonts w:hint="eastAsia"/>
                          <w:b/>
                          <w:bCs/>
                          <w:lang w:val="en-US"/>
                        </w:rPr>
                        <w:t>名称）</w:t>
                      </w:r>
                      <w:r>
                        <w:rPr>
                          <w:b/>
                          <w:bCs/>
                          <w:spacing w:val="4"/>
                        </w:rPr>
                        <w:t>的</w:t>
                      </w:r>
                      <w:r>
                        <w:rPr>
                          <w:b/>
                          <w:bCs/>
                          <w:spacing w:val="-5"/>
                        </w:rPr>
                        <w:t>竞</w:t>
                      </w:r>
                      <w:r>
                        <w:rPr>
                          <w:b/>
                          <w:bCs/>
                          <w:spacing w:val="4"/>
                        </w:rPr>
                        <w:t>投申请。</w:t>
                      </w:r>
                    </w:p>
                    <w:p>
                      <w:pPr>
                        <w:pStyle w:val="5"/>
                        <w:tabs>
                          <w:tab w:val="left" w:pos="8366"/>
                        </w:tabs>
                        <w:spacing w:line="368" w:lineRule="auto"/>
                        <w:ind w:left="1890" w:leftChars="348" w:right="568" w:rightChars="258" w:hanging="1124" w:hangingChars="400"/>
                        <w:rPr>
                          <w:b/>
                          <w:bCs/>
                          <w:spacing w:val="-3"/>
                        </w:rPr>
                      </w:pPr>
                      <w:r>
                        <w:rPr>
                          <w:b/>
                          <w:bCs/>
                        </w:rPr>
                        <w:t>不通过审查的原因</w:t>
                      </w:r>
                      <w:r>
                        <w:rPr>
                          <w:b/>
                          <w:bCs/>
                          <w:spacing w:val="-3"/>
                        </w:rPr>
                        <w:t>：</w:t>
                      </w:r>
                    </w:p>
                    <w:p>
                      <w:pPr>
                        <w:pStyle w:val="5"/>
                        <w:tabs>
                          <w:tab w:val="left" w:pos="8366"/>
                        </w:tabs>
                        <w:spacing w:line="368" w:lineRule="auto"/>
                        <w:ind w:left="567" w:right="567"/>
                        <w:rPr>
                          <w:b/>
                          <w:bCs/>
                          <w:spacing w:val="-3"/>
                          <w:u w:val="single"/>
                        </w:rPr>
                      </w:pPr>
                      <w:r>
                        <w:rPr>
                          <w:b/>
                          <w:bCs/>
                          <w:spacing w:val="-3"/>
                          <w:u w:val="single"/>
                        </w:rPr>
                        <w:tab/>
                      </w:r>
                    </w:p>
                    <w:p>
                      <w:pPr>
                        <w:pStyle w:val="5"/>
                        <w:tabs>
                          <w:tab w:val="left" w:pos="8366"/>
                        </w:tabs>
                        <w:spacing w:line="368" w:lineRule="auto"/>
                        <w:ind w:left="568" w:leftChars="258" w:right="568" w:rightChars="258" w:firstLine="138" w:firstLineChars="49"/>
                        <w:rPr>
                          <w:b/>
                          <w:bCs/>
                        </w:rPr>
                      </w:pPr>
                      <w:r>
                        <w:rPr>
                          <w:b/>
                          <w:bCs/>
                        </w:rPr>
                        <w:t>。</w:t>
                      </w:r>
                    </w:p>
                    <w:p>
                      <w:pPr>
                        <w:pStyle w:val="5"/>
                        <w:spacing w:line="358" w:lineRule="exact"/>
                        <w:ind w:left="1087"/>
                        <w:jc w:val="center"/>
                        <w:rPr>
                          <w:rFonts w:ascii="黑体" w:eastAsia="黑体"/>
                        </w:rPr>
                      </w:pPr>
                    </w:p>
                    <w:p>
                      <w:pPr>
                        <w:pStyle w:val="5"/>
                        <w:spacing w:line="358" w:lineRule="exact"/>
                        <w:ind w:left="1087"/>
                        <w:jc w:val="center"/>
                        <w:rPr>
                          <w:rFonts w:ascii="黑体" w:eastAsia="黑体"/>
                        </w:rPr>
                      </w:pPr>
                      <w:r>
                        <w:rPr>
                          <w:rFonts w:hint="eastAsia" w:ascii="黑体" w:eastAsia="黑体"/>
                        </w:rPr>
                        <w:t>竞投人签名确认：</w:t>
                      </w:r>
                    </w:p>
                    <w:p>
                      <w:pPr>
                        <w:pStyle w:val="9"/>
                        <w:jc w:val="center"/>
                        <w:rPr>
                          <w:rFonts w:ascii="黑体"/>
                          <w:sz w:val="28"/>
                        </w:rPr>
                      </w:pPr>
                    </w:p>
                    <w:p>
                      <w:pPr>
                        <w:pStyle w:val="9"/>
                        <w:spacing w:before="6"/>
                        <w:jc w:val="center"/>
                        <w:rPr>
                          <w:rFonts w:ascii="黑体"/>
                          <w:sz w:val="28"/>
                        </w:rPr>
                      </w:pPr>
                    </w:p>
                    <w:p>
                      <w:pPr>
                        <w:tabs>
                          <w:tab w:val="left" w:pos="5707"/>
                        </w:tabs>
                        <w:ind w:left="1087"/>
                        <w:jc w:val="center"/>
                        <w:rPr>
                          <w:rFonts w:ascii="黑体" w:eastAsia="黑体"/>
                          <w:sz w:val="28"/>
                        </w:rPr>
                      </w:pPr>
                      <w:r>
                        <w:rPr>
                          <w:rFonts w:hint="eastAsia" w:ascii="黑体" w:eastAsia="黑体"/>
                          <w:sz w:val="28"/>
                        </w:rPr>
                        <w:t>出</w:t>
                      </w:r>
                      <w:r>
                        <w:rPr>
                          <w:rFonts w:hint="eastAsia" w:ascii="黑体" w:eastAsia="黑体"/>
                          <w:spacing w:val="-5"/>
                          <w:sz w:val="28"/>
                        </w:rPr>
                        <w:t>租</w:t>
                      </w:r>
                      <w:r>
                        <w:rPr>
                          <w:rFonts w:hint="eastAsia" w:ascii="黑体" w:eastAsia="黑体"/>
                          <w:sz w:val="28"/>
                        </w:rPr>
                        <w:t>人</w:t>
                      </w:r>
                      <w:r>
                        <w:rPr>
                          <w:rFonts w:hint="eastAsia" w:ascii="黑体" w:eastAsia="黑体"/>
                          <w:spacing w:val="-3"/>
                          <w:sz w:val="28"/>
                        </w:rPr>
                        <w:t>代表</w:t>
                      </w:r>
                      <w:r>
                        <w:rPr>
                          <w:rFonts w:hint="eastAsia" w:ascii="黑体" w:eastAsia="黑体"/>
                          <w:sz w:val="28"/>
                        </w:rPr>
                        <w:t>：</w:t>
                      </w:r>
                    </w:p>
                    <w:p>
                      <w:pPr>
                        <w:tabs>
                          <w:tab w:val="left" w:pos="5707"/>
                        </w:tabs>
                        <w:ind w:left="1087"/>
                        <w:jc w:val="center"/>
                        <w:rPr>
                          <w:rFonts w:ascii="黑体" w:eastAsia="黑体"/>
                          <w:sz w:val="28"/>
                        </w:rPr>
                      </w:pPr>
                    </w:p>
                    <w:p>
                      <w:pPr>
                        <w:tabs>
                          <w:tab w:val="left" w:pos="5707"/>
                        </w:tabs>
                        <w:ind w:left="1087"/>
                        <w:jc w:val="center"/>
                        <w:rPr>
                          <w:rFonts w:ascii="黑体" w:eastAsia="黑体"/>
                          <w:sz w:val="28"/>
                        </w:rPr>
                      </w:pPr>
                    </w:p>
                    <w:p>
                      <w:pPr>
                        <w:tabs>
                          <w:tab w:val="left" w:pos="5707"/>
                        </w:tabs>
                        <w:ind w:left="1087"/>
                        <w:jc w:val="center"/>
                        <w:rPr>
                          <w:rFonts w:ascii="黑体" w:eastAsia="黑体"/>
                          <w:sz w:val="28"/>
                        </w:rPr>
                      </w:pPr>
                      <w:r>
                        <w:rPr>
                          <w:rFonts w:hint="eastAsia" w:ascii="黑体" w:eastAsia="黑体"/>
                          <w:sz w:val="28"/>
                          <w:lang w:val="en-US"/>
                        </w:rPr>
                        <w:t>交易代理机构代表：</w:t>
                      </w:r>
                    </w:p>
                    <w:p>
                      <w:pPr>
                        <w:pStyle w:val="9"/>
                        <w:jc w:val="center"/>
                        <w:rPr>
                          <w:rFonts w:ascii="黑体"/>
                          <w:sz w:val="28"/>
                        </w:rPr>
                      </w:pPr>
                    </w:p>
                    <w:p>
                      <w:pPr>
                        <w:pStyle w:val="9"/>
                        <w:jc w:val="center"/>
                        <w:rPr>
                          <w:rFonts w:ascii="黑体"/>
                          <w:sz w:val="28"/>
                        </w:rPr>
                      </w:pPr>
                    </w:p>
                    <w:p>
                      <w:pPr>
                        <w:jc w:val="center"/>
                        <w:rPr>
                          <w:lang w:val="en-US"/>
                        </w:rPr>
                      </w:pPr>
                    </w:p>
                  </w:txbxContent>
                </v:textbox>
              </v:shape>
            </w:pict>
          </mc:Fallback>
        </mc:AlternateContent>
      </w: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pStyle w:val="3"/>
        <w:adjustRightInd w:val="0"/>
        <w:snapToGrid w:val="0"/>
        <w:spacing w:line="360" w:lineRule="auto"/>
        <w:ind w:left="0"/>
        <w:jc w:val="right"/>
        <w:rPr>
          <w:rFonts w:ascii="宋体" w:hAnsi="宋体" w:eastAsia="宋体" w:cs="宋体"/>
        </w:rPr>
      </w:pPr>
      <w:r>
        <w:rPr>
          <w:rFonts w:hint="eastAsia" w:ascii="宋体" w:hAnsi="宋体" w:eastAsia="宋体" w:cs="宋体"/>
        </w:rPr>
        <w:br w:type="page"/>
      </w:r>
      <w:bookmarkStart w:id="302" w:name="_Toc8208"/>
      <w:bookmarkStart w:id="303" w:name="_Toc24002"/>
      <w:bookmarkStart w:id="304" w:name="_Toc25656128"/>
      <w:bookmarkStart w:id="305" w:name="_Toc19398"/>
      <w:bookmarkStart w:id="306" w:name="_Toc16644"/>
      <w:bookmarkStart w:id="307" w:name="_Toc13880"/>
      <w:bookmarkStart w:id="308" w:name="_Toc20240"/>
      <w:bookmarkStart w:id="309" w:name="_Toc4511"/>
      <w:bookmarkStart w:id="310" w:name="_Toc27282"/>
      <w:bookmarkStart w:id="311" w:name="_Toc15714_WPSOffice_Level2"/>
      <w:r>
        <w:rPr>
          <w:rFonts w:hint="eastAsia" w:ascii="宋体" w:hAnsi="宋体" w:eastAsia="宋体" w:cs="宋体"/>
        </w:rPr>
        <w:t>八、缴交保证金声明(样本)</w:t>
      </w:r>
      <w:bookmarkEnd w:id="292"/>
      <w:bookmarkEnd w:id="293"/>
      <w:bookmarkEnd w:id="294"/>
      <w:bookmarkEnd w:id="295"/>
      <w:bookmarkEnd w:id="302"/>
      <w:bookmarkEnd w:id="303"/>
      <w:bookmarkEnd w:id="304"/>
      <w:bookmarkEnd w:id="305"/>
      <w:bookmarkEnd w:id="306"/>
      <w:bookmarkEnd w:id="307"/>
      <w:bookmarkEnd w:id="308"/>
      <w:bookmarkEnd w:id="309"/>
      <w:bookmarkEnd w:id="310"/>
      <w:bookmarkEnd w:id="311"/>
    </w:p>
    <w:p>
      <w:pPr>
        <w:adjustRightInd w:val="0"/>
        <w:snapToGrid w:val="0"/>
        <w:spacing w:before="228" w:line="360" w:lineRule="auto"/>
        <w:jc w:val="both"/>
        <w:rPr>
          <w:b/>
          <w:sz w:val="28"/>
        </w:rPr>
      </w:pPr>
      <w:bookmarkStart w:id="312" w:name="佛山市顺德区城业投资发展有限公司："/>
      <w:bookmarkEnd w:id="312"/>
    </w:p>
    <w:p>
      <w:pPr>
        <w:adjustRightInd w:val="0"/>
        <w:snapToGrid w:val="0"/>
        <w:spacing w:before="228" w:line="360" w:lineRule="auto"/>
        <w:jc w:val="both"/>
        <w:rPr>
          <w:b/>
          <w:sz w:val="28"/>
        </w:rPr>
      </w:pPr>
      <w:r>
        <w:rPr>
          <w:rFonts w:hint="eastAsia"/>
          <w:b/>
          <w:sz w:val="28"/>
        </w:rPr>
        <w:t>佛山市顺德区容桂时光文旅产业有限公司：</w:t>
      </w:r>
    </w:p>
    <w:p>
      <w:pPr>
        <w:adjustRightInd w:val="0"/>
        <w:snapToGrid w:val="0"/>
        <w:spacing w:before="228" w:line="360" w:lineRule="auto"/>
        <w:ind w:firstLine="828" w:firstLineChars="200"/>
        <w:jc w:val="both"/>
        <w:rPr>
          <w:spacing w:val="66"/>
          <w:sz w:val="28"/>
          <w:szCs w:val="28"/>
          <w:u w:val="single"/>
        </w:rPr>
      </w:pPr>
      <w:r>
        <w:rPr>
          <w:rFonts w:hint="eastAsia"/>
          <w:spacing w:val="67"/>
          <w:sz w:val="28"/>
          <w:szCs w:val="28"/>
        </w:rPr>
        <w:t>本</w:t>
      </w:r>
      <w:r>
        <w:rPr>
          <w:rFonts w:hint="eastAsia"/>
          <w:spacing w:val="64"/>
          <w:sz w:val="28"/>
          <w:szCs w:val="28"/>
        </w:rPr>
        <w:t>单</w:t>
      </w:r>
      <w:r>
        <w:rPr>
          <w:rFonts w:hint="eastAsia"/>
          <w:spacing w:val="66"/>
          <w:sz w:val="28"/>
          <w:szCs w:val="28"/>
        </w:rPr>
        <w:t>位（</w:t>
      </w:r>
      <w:r>
        <w:rPr>
          <w:rFonts w:hint="eastAsia"/>
          <w:spacing w:val="66"/>
          <w:sz w:val="28"/>
          <w:szCs w:val="28"/>
          <w:lang w:val="en-US"/>
        </w:rPr>
        <w:t>个人</w:t>
      </w:r>
      <w:r>
        <w:rPr>
          <w:rFonts w:hint="eastAsia"/>
          <w:spacing w:val="66"/>
          <w:sz w:val="28"/>
          <w:szCs w:val="28"/>
        </w:rPr>
        <w:t>）</w:t>
      </w:r>
      <w:r>
        <w:rPr>
          <w:rFonts w:hint="eastAsia"/>
          <w:sz w:val="28"/>
          <w:szCs w:val="28"/>
          <w:u w:val="single"/>
        </w:rPr>
        <w:tab/>
      </w:r>
      <w:r>
        <w:rPr>
          <w:rFonts w:hint="eastAsia"/>
          <w:sz w:val="28"/>
          <w:szCs w:val="28"/>
        </w:rPr>
        <w:t>（</w:t>
      </w:r>
      <w:r>
        <w:rPr>
          <w:rFonts w:hint="eastAsia"/>
          <w:sz w:val="28"/>
          <w:szCs w:val="28"/>
          <w:lang w:val="en-US"/>
        </w:rPr>
        <w:t>汇款银行账号</w:t>
      </w:r>
      <w:r>
        <w:rPr>
          <w:rFonts w:hint="eastAsia"/>
          <w:spacing w:val="-27"/>
          <w:sz w:val="28"/>
          <w:szCs w:val="28"/>
          <w:u w:val="single"/>
        </w:rPr>
        <w:t>：</w:t>
      </w:r>
      <w:r>
        <w:rPr>
          <w:spacing w:val="-27"/>
          <w:sz w:val="28"/>
          <w:szCs w:val="28"/>
          <w:u w:val="single"/>
        </w:rPr>
        <w:t xml:space="preserve">               </w:t>
      </w:r>
      <w:r>
        <w:rPr>
          <w:spacing w:val="-27"/>
          <w:sz w:val="28"/>
          <w:szCs w:val="28"/>
        </w:rPr>
        <w:t xml:space="preserve"> </w:t>
      </w:r>
      <w:r>
        <w:rPr>
          <w:rFonts w:hint="eastAsia"/>
          <w:spacing w:val="-25"/>
          <w:sz w:val="28"/>
          <w:szCs w:val="28"/>
        </w:rPr>
        <w:t>）</w:t>
      </w:r>
      <w:r>
        <w:rPr>
          <w:rFonts w:hint="eastAsia"/>
          <w:spacing w:val="-3"/>
          <w:sz w:val="28"/>
          <w:szCs w:val="28"/>
        </w:rPr>
        <w:t>，</w:t>
      </w:r>
      <w:r>
        <w:rPr>
          <w:rFonts w:hint="eastAsia"/>
          <w:spacing w:val="14"/>
          <w:sz w:val="28"/>
          <w:szCs w:val="28"/>
        </w:rPr>
        <w:t>缴交</w:t>
      </w:r>
      <w:r>
        <w:rPr>
          <w:rFonts w:hint="eastAsia"/>
          <w:spacing w:val="66"/>
          <w:sz w:val="28"/>
          <w:szCs w:val="28"/>
        </w:rPr>
        <w:t>容桂街道小黄圃社区眉蕉河沿岸、科龙职中以南地块一公开招租竞投</w:t>
      </w:r>
      <w:r>
        <w:rPr>
          <w:rFonts w:hint="eastAsia"/>
          <w:spacing w:val="66"/>
          <w:sz w:val="28"/>
          <w:szCs w:val="28"/>
          <w:lang w:val="en-US"/>
        </w:rPr>
        <w:t>承租权招租项目</w:t>
      </w:r>
      <w:r>
        <w:rPr>
          <w:rFonts w:hint="eastAsia"/>
          <w:spacing w:val="66"/>
          <w:sz w:val="28"/>
          <w:szCs w:val="28"/>
        </w:rPr>
        <w:t>（交易存档号： 容时公【2023】20231107号）</w:t>
      </w:r>
      <w:r>
        <w:rPr>
          <w:rFonts w:hint="eastAsia"/>
          <w:spacing w:val="66"/>
          <w:sz w:val="28"/>
          <w:szCs w:val="28"/>
          <w:u w:val="single"/>
          <w:lang w:val="en-US"/>
        </w:rPr>
        <w:t xml:space="preserve"> 容桂街道小黄圃社区眉蕉河沿岸、科龙职中以南地块一</w:t>
      </w:r>
      <w:r>
        <w:rPr>
          <w:rFonts w:hint="eastAsia"/>
          <w:spacing w:val="66"/>
          <w:sz w:val="28"/>
          <w:szCs w:val="28"/>
          <w:lang w:val="en-US"/>
        </w:rPr>
        <w:t>（对应标的物名称）的</w:t>
      </w:r>
      <w:r>
        <w:rPr>
          <w:rFonts w:hint="eastAsia"/>
          <w:spacing w:val="66"/>
          <w:sz w:val="28"/>
          <w:szCs w:val="28"/>
        </w:rPr>
        <w:t>竞投保证金人民币大写</w:t>
      </w:r>
      <w:r>
        <w:rPr>
          <w:rFonts w:hint="eastAsia"/>
          <w:spacing w:val="66"/>
          <w:sz w:val="28"/>
          <w:szCs w:val="28"/>
          <w:u w:val="single"/>
          <w:lang w:val="en-US"/>
        </w:rPr>
        <w:t xml:space="preserve">  伍拾壹万零贰佰叁拾贰元陆角伍分     </w:t>
      </w:r>
      <w:r>
        <w:rPr>
          <w:rFonts w:hint="eastAsia"/>
          <w:spacing w:val="66"/>
          <w:sz w:val="28"/>
          <w:szCs w:val="28"/>
        </w:rPr>
        <w:t>（小写：¥</w:t>
      </w:r>
      <w:r>
        <w:rPr>
          <w:spacing w:val="66"/>
          <w:sz w:val="28"/>
          <w:szCs w:val="28"/>
          <w:u w:val="single"/>
          <w:lang w:val="en-US"/>
        </w:rPr>
        <w:t xml:space="preserve"> </w:t>
      </w:r>
      <w:r>
        <w:rPr>
          <w:rFonts w:hint="eastAsia"/>
          <w:spacing w:val="66"/>
          <w:sz w:val="28"/>
          <w:szCs w:val="28"/>
          <w:u w:val="single"/>
          <w:lang w:val="en-US"/>
        </w:rPr>
        <w:t xml:space="preserve"> </w:t>
      </w:r>
      <w:r>
        <w:rPr>
          <w:spacing w:val="66"/>
          <w:sz w:val="28"/>
          <w:szCs w:val="28"/>
          <w:u w:val="single"/>
          <w:lang w:val="en-US"/>
        </w:rPr>
        <w:t>510232.65</w:t>
      </w:r>
      <w:r>
        <w:rPr>
          <w:spacing w:val="66"/>
          <w:sz w:val="28"/>
          <w:szCs w:val="28"/>
        </w:rPr>
        <w:t>元）</w:t>
      </w:r>
      <w:r>
        <w:rPr>
          <w:rFonts w:hint="eastAsia"/>
          <w:spacing w:val="66"/>
          <w:sz w:val="28"/>
          <w:szCs w:val="28"/>
        </w:rPr>
        <w:t>。本单位（</w:t>
      </w:r>
      <w:r>
        <w:rPr>
          <w:rFonts w:hint="eastAsia"/>
          <w:spacing w:val="66"/>
          <w:sz w:val="28"/>
          <w:szCs w:val="28"/>
          <w:lang w:val="en-US"/>
        </w:rPr>
        <w:t>个人</w:t>
      </w:r>
      <w:r>
        <w:rPr>
          <w:rFonts w:hint="eastAsia"/>
          <w:spacing w:val="66"/>
          <w:sz w:val="28"/>
          <w:szCs w:val="28"/>
        </w:rPr>
        <w:t>）同意该保证金的使用、收退遵守《容桂街道小黄圃社区眉蕉河沿岸、科龙职中以南地块一招租竞投</w:t>
      </w:r>
      <w:r>
        <w:rPr>
          <w:rFonts w:hint="eastAsia"/>
          <w:spacing w:val="66"/>
          <w:sz w:val="28"/>
          <w:szCs w:val="28"/>
          <w:lang w:val="en-US"/>
        </w:rPr>
        <w:t>承租权招租项目</w:t>
      </w:r>
      <w:r>
        <w:rPr>
          <w:rFonts w:hint="eastAsia"/>
          <w:spacing w:val="66"/>
          <w:sz w:val="28"/>
          <w:szCs w:val="28"/>
        </w:rPr>
        <w:t>公开招租文件》（交易存档号：容时公【2023】20231107号）的有关规定。特此声明。</w:t>
      </w:r>
    </w:p>
    <w:p>
      <w:pPr>
        <w:pStyle w:val="9"/>
        <w:adjustRightInd w:val="0"/>
        <w:snapToGrid w:val="0"/>
        <w:spacing w:line="360" w:lineRule="auto"/>
        <w:ind w:firstLine="560" w:firstLineChars="200"/>
        <w:jc w:val="both"/>
        <w:rPr>
          <w:sz w:val="28"/>
          <w:szCs w:val="28"/>
        </w:rPr>
      </w:pPr>
    </w:p>
    <w:p>
      <w:pPr>
        <w:pStyle w:val="9"/>
        <w:adjustRightInd w:val="0"/>
        <w:snapToGrid w:val="0"/>
        <w:spacing w:line="360" w:lineRule="auto"/>
        <w:ind w:firstLine="560" w:firstLineChars="200"/>
        <w:jc w:val="both"/>
        <w:rPr>
          <w:sz w:val="28"/>
          <w:szCs w:val="28"/>
        </w:rPr>
      </w:pPr>
    </w:p>
    <w:p>
      <w:pPr>
        <w:pStyle w:val="38"/>
        <w:adjustRightInd w:val="0"/>
        <w:snapToGrid w:val="0"/>
        <w:spacing w:before="104" w:line="360" w:lineRule="auto"/>
        <w:jc w:val="both"/>
        <w:rPr>
          <w:b/>
          <w:sz w:val="28"/>
          <w:szCs w:val="28"/>
          <w:u w:val="single"/>
          <w:lang w:val="en-US"/>
        </w:rPr>
      </w:pPr>
      <w:r>
        <w:rPr>
          <w:rFonts w:hint="eastAsia"/>
          <w:bCs/>
          <w:sz w:val="28"/>
          <w:szCs w:val="28"/>
          <w:lang w:val="en-US"/>
        </w:rPr>
        <w:t xml:space="preserve">        </w:t>
      </w:r>
      <w:r>
        <w:rPr>
          <w:bCs/>
          <w:sz w:val="28"/>
          <w:szCs w:val="28"/>
          <w:lang w:val="en-US"/>
        </w:rPr>
        <w:t xml:space="preserve">                            </w:t>
      </w:r>
      <w:r>
        <w:rPr>
          <w:rFonts w:hint="eastAsia"/>
          <w:bCs/>
          <w:sz w:val="28"/>
          <w:szCs w:val="28"/>
          <w:lang w:val="en-US"/>
        </w:rPr>
        <w:t>竞投人单位名称/个人（签章）：</w:t>
      </w:r>
    </w:p>
    <w:p>
      <w:pPr>
        <w:tabs>
          <w:tab w:val="left" w:pos="7526"/>
          <w:tab w:val="left" w:pos="8096"/>
        </w:tabs>
        <w:adjustRightInd w:val="0"/>
        <w:snapToGrid w:val="0"/>
        <w:spacing w:line="360" w:lineRule="auto"/>
        <w:ind w:firstLine="6440" w:firstLineChars="2300"/>
        <w:jc w:val="both"/>
        <w:rPr>
          <w:sz w:val="28"/>
          <w:szCs w:val="28"/>
        </w:rPr>
      </w:pPr>
      <w:r>
        <w:rPr>
          <w:rFonts w:hint="eastAsia"/>
          <w:sz w:val="28"/>
          <w:szCs w:val="28"/>
        </w:rPr>
        <w:t>年  月  日</w:t>
      </w:r>
    </w:p>
    <w:p>
      <w:pPr>
        <w:adjustRightInd w:val="0"/>
        <w:snapToGrid w:val="0"/>
        <w:spacing w:line="360" w:lineRule="auto"/>
        <w:ind w:firstLine="560" w:firstLineChars="200"/>
        <w:jc w:val="both"/>
        <w:rPr>
          <w:sz w:val="28"/>
          <w:szCs w:val="28"/>
        </w:rPr>
        <w:sectPr>
          <w:pgSz w:w="11910" w:h="16840"/>
          <w:pgMar w:top="1440" w:right="1080" w:bottom="1440" w:left="1080" w:header="0" w:footer="421" w:gutter="0"/>
          <w:cols w:space="720" w:num="1"/>
        </w:sectPr>
      </w:pPr>
    </w:p>
    <w:p>
      <w:pPr>
        <w:pStyle w:val="2"/>
        <w:rPr>
          <w:rFonts w:ascii="宋体" w:hAnsi="宋体" w:eastAsia="宋体" w:cs="宋体"/>
          <w:b/>
          <w:bCs/>
          <w:szCs w:val="32"/>
        </w:rPr>
      </w:pPr>
      <w:bookmarkStart w:id="313" w:name="_Toc4380"/>
      <w:bookmarkStart w:id="314" w:name="_Toc32297"/>
      <w:bookmarkStart w:id="315" w:name="_Toc7782"/>
      <w:bookmarkStart w:id="316" w:name="_Toc25656129"/>
      <w:bookmarkStart w:id="317" w:name="_Toc17458_WPSOffice_Level1"/>
      <w:bookmarkStart w:id="318" w:name="_Toc5154_WPSOffice_Level2"/>
      <w:bookmarkStart w:id="319" w:name="_Toc26742_WPSOffice_Level2"/>
      <w:bookmarkStart w:id="320" w:name="_Toc8858_WPSOffice_Level2"/>
      <w:bookmarkStart w:id="321" w:name="_Toc6598_WPSOffice_Level2"/>
      <w:r>
        <w:rPr>
          <w:rFonts w:hint="eastAsia" w:ascii="宋体" w:hAnsi="宋体" w:eastAsia="宋体" w:cs="宋体"/>
        </w:rPr>
        <w:t>九、招租中标成交凭证（拍后签订）</w:t>
      </w:r>
      <w:bookmarkEnd w:id="313"/>
      <w:bookmarkEnd w:id="314"/>
      <w:bookmarkEnd w:id="315"/>
    </w:p>
    <w:p>
      <w:pPr>
        <w:spacing w:line="360" w:lineRule="auto"/>
        <w:jc w:val="both"/>
        <w:rPr>
          <w:bCs/>
          <w:sz w:val="44"/>
          <w:szCs w:val="44"/>
        </w:rPr>
      </w:pPr>
    </w:p>
    <w:p>
      <w:pPr>
        <w:spacing w:line="360" w:lineRule="auto"/>
        <w:ind w:firstLine="640" w:firstLineChars="200"/>
        <w:jc w:val="both"/>
        <w:rPr>
          <w:bCs/>
          <w:sz w:val="32"/>
          <w:szCs w:val="32"/>
        </w:rPr>
      </w:pPr>
      <w:r>
        <w:rPr>
          <w:rFonts w:hint="eastAsia"/>
          <w:bCs/>
          <w:sz w:val="32"/>
          <w:szCs w:val="32"/>
        </w:rPr>
        <w:t>顺德容桂  承租权，以上房产由持号牌的竞投人以人民币元投得（每月租金）。</w:t>
      </w:r>
    </w:p>
    <w:p>
      <w:pPr>
        <w:spacing w:line="360" w:lineRule="auto"/>
        <w:ind w:firstLine="640" w:firstLineChars="200"/>
        <w:jc w:val="both"/>
        <w:rPr>
          <w:bCs/>
          <w:sz w:val="32"/>
          <w:szCs w:val="32"/>
        </w:rPr>
      </w:pPr>
      <w:r>
        <w:rPr>
          <w:rFonts w:hint="eastAsia"/>
          <w:bCs/>
          <w:sz w:val="32"/>
          <w:szCs w:val="32"/>
        </w:rPr>
        <w:t xml:space="preserve">     本《成交凭证》一式三份，委托方、顺德拍卖行、中标成交人各执一份</w:t>
      </w:r>
    </w:p>
    <w:p>
      <w:pPr>
        <w:spacing w:line="360" w:lineRule="auto"/>
        <w:ind w:firstLine="640" w:firstLineChars="200"/>
        <w:jc w:val="both"/>
        <w:rPr>
          <w:bCs/>
          <w:sz w:val="32"/>
          <w:szCs w:val="32"/>
        </w:rPr>
      </w:pPr>
    </w:p>
    <w:p>
      <w:pPr>
        <w:spacing w:line="360" w:lineRule="auto"/>
        <w:jc w:val="both"/>
        <w:rPr>
          <w:bCs/>
          <w:sz w:val="32"/>
          <w:szCs w:val="32"/>
          <w:u w:val="single"/>
        </w:rPr>
      </w:pPr>
      <w:r>
        <w:rPr>
          <w:rFonts w:hint="eastAsia"/>
          <w:bCs/>
          <w:sz w:val="32"/>
          <w:szCs w:val="32"/>
        </w:rPr>
        <w:t xml:space="preserve">竞投人（签章/指模）：电话号码: </w:t>
      </w:r>
    </w:p>
    <w:p>
      <w:pPr>
        <w:spacing w:line="360" w:lineRule="auto"/>
        <w:jc w:val="both"/>
        <w:rPr>
          <w:bCs/>
          <w:sz w:val="32"/>
          <w:szCs w:val="32"/>
          <w:u w:val="single"/>
        </w:rPr>
      </w:pPr>
    </w:p>
    <w:p>
      <w:pPr>
        <w:spacing w:line="360" w:lineRule="auto"/>
        <w:jc w:val="both"/>
        <w:rPr>
          <w:bCs/>
          <w:sz w:val="32"/>
          <w:szCs w:val="32"/>
          <w:u w:val="single"/>
        </w:rPr>
      </w:pPr>
      <w:r>
        <w:rPr>
          <w:rFonts w:hint="eastAsia"/>
          <w:bCs/>
          <w:sz w:val="32"/>
          <w:szCs w:val="32"/>
        </w:rPr>
        <w:t>记录员（签名）：</w:t>
      </w:r>
    </w:p>
    <w:p>
      <w:pPr>
        <w:spacing w:line="360" w:lineRule="auto"/>
        <w:ind w:left="5440" w:hanging="5440" w:hangingChars="1700"/>
        <w:jc w:val="both"/>
        <w:rPr>
          <w:bCs/>
          <w:sz w:val="32"/>
          <w:szCs w:val="32"/>
        </w:rPr>
      </w:pPr>
      <w:r>
        <w:rPr>
          <w:rFonts w:hint="eastAsia"/>
          <w:bCs/>
          <w:sz w:val="32"/>
          <w:szCs w:val="32"/>
        </w:rPr>
        <w:t xml:space="preserve">                                     2023年</w:t>
      </w:r>
      <w:r>
        <w:rPr>
          <w:rFonts w:hint="eastAsia"/>
          <w:bCs/>
          <w:sz w:val="32"/>
          <w:szCs w:val="32"/>
          <w:lang w:val="en-US" w:eastAsia="zh-CN"/>
        </w:rPr>
        <w:t>11</w:t>
      </w:r>
      <w:r>
        <w:rPr>
          <w:rFonts w:hint="eastAsia"/>
          <w:bCs/>
          <w:sz w:val="32"/>
          <w:szCs w:val="32"/>
        </w:rPr>
        <w:t>月</w:t>
      </w:r>
      <w:r>
        <w:rPr>
          <w:rFonts w:hint="eastAsia"/>
          <w:bCs/>
          <w:sz w:val="32"/>
          <w:szCs w:val="32"/>
          <w:lang w:val="en-US" w:eastAsia="zh-CN"/>
        </w:rPr>
        <w:t>30</w:t>
      </w:r>
      <w:r>
        <w:rPr>
          <w:rFonts w:hint="eastAsia"/>
          <w:bCs/>
          <w:sz w:val="32"/>
          <w:szCs w:val="32"/>
        </w:rPr>
        <w:t xml:space="preserve">日           </w:t>
      </w:r>
    </w:p>
    <w:p>
      <w:pPr>
        <w:spacing w:line="360" w:lineRule="auto"/>
        <w:ind w:firstLine="4960" w:firstLineChars="1550"/>
        <w:jc w:val="both"/>
        <w:rPr>
          <w:bCs/>
          <w:sz w:val="36"/>
          <w:szCs w:val="36"/>
        </w:rPr>
      </w:pPr>
      <w:r>
        <w:rPr>
          <w:rFonts w:hint="eastAsia"/>
          <w:bCs/>
          <w:sz w:val="32"/>
          <w:szCs w:val="32"/>
        </w:rPr>
        <w:t>佛山市顺德拍卖行有限公司</w:t>
      </w:r>
    </w:p>
    <w:p>
      <w:pPr>
        <w:adjustRightInd w:val="0"/>
        <w:snapToGrid w:val="0"/>
        <w:spacing w:line="360" w:lineRule="auto"/>
        <w:ind w:right="2" w:firstLine="420" w:firstLineChars="200"/>
        <w:jc w:val="both"/>
        <w:rPr>
          <w:sz w:val="21"/>
          <w:szCs w:val="21"/>
          <w:lang w:val="en-US"/>
        </w:rPr>
      </w:pPr>
      <w:r>
        <w:rPr>
          <w:rFonts w:hint="eastAsia"/>
          <w:sz w:val="21"/>
          <w:szCs w:val="21"/>
          <w:lang w:val="en-US"/>
        </w:rPr>
        <w:t>本中标成交凭证签订后，竞得人须于成交公告公示期满后 5 个工作日内缴纳对应的履约保证金并携带相关资料到佛山市顺德区容桂时光文旅产业有限公司签订《租赁合同》，并按照《租赁合同》的约定执行。如竞得人在竞得该标的物后没有在规定时间内向出租人缴交足额的履约保证金或签订《租赁合同》的，出租人将上述行为视为该竞得人属于不诚信行为，出租人有权全额没收竞得人的竞投保证金并对竞得人追讨由上述行为给出租人带来的一切经济损失，并有权将物业重新进行公开招租。经济损失的赔偿金额按计算方式：按该标的物中标金额/30日*从本竞投公告公示之日起至本标的物再次招租成功并签订《租赁合同》（以签订《移交确认书》为准）之日期间的天数。</w:t>
      </w:r>
    </w:p>
    <w:p>
      <w:pPr>
        <w:adjustRightInd w:val="0"/>
        <w:snapToGrid w:val="0"/>
        <w:spacing w:before="24" w:line="360" w:lineRule="auto"/>
        <w:ind w:right="2" w:firstLine="707" w:firstLineChars="337"/>
        <w:jc w:val="both"/>
        <w:rPr>
          <w:bCs/>
          <w:sz w:val="21"/>
          <w:szCs w:val="21"/>
        </w:rPr>
      </w:pPr>
      <w:r>
        <w:rPr>
          <w:rFonts w:hint="eastAsia"/>
          <w:sz w:val="21"/>
          <w:szCs w:val="21"/>
        </w:rPr>
        <w:t>本《</w:t>
      </w:r>
      <w:r>
        <w:rPr>
          <w:rFonts w:hint="eastAsia"/>
          <w:sz w:val="21"/>
          <w:szCs w:val="21"/>
          <w:lang w:val="en-US"/>
        </w:rPr>
        <w:t>中标成交凭证</w:t>
      </w:r>
      <w:r>
        <w:rPr>
          <w:rFonts w:hint="eastAsia"/>
          <w:sz w:val="21"/>
          <w:szCs w:val="21"/>
        </w:rPr>
        <w:t>》一式三份，</w:t>
      </w:r>
      <w:r>
        <w:rPr>
          <w:rFonts w:hint="eastAsia"/>
          <w:sz w:val="21"/>
          <w:szCs w:val="21"/>
          <w:lang w:val="en-US"/>
        </w:rPr>
        <w:t>拍卖人</w:t>
      </w:r>
      <w:r>
        <w:rPr>
          <w:rFonts w:hint="eastAsia"/>
          <w:sz w:val="21"/>
          <w:szCs w:val="21"/>
        </w:rPr>
        <w:t>、竞得人、出租人各执一份。特此确认。</w:t>
      </w:r>
    </w:p>
    <w:p>
      <w:pPr>
        <w:pStyle w:val="3"/>
        <w:adjustRightInd w:val="0"/>
        <w:snapToGrid w:val="0"/>
        <w:spacing w:line="360" w:lineRule="auto"/>
        <w:ind w:left="0"/>
        <w:jc w:val="both"/>
        <w:rPr>
          <w:rFonts w:ascii="宋体" w:hAnsi="宋体" w:eastAsia="宋体" w:cs="宋体"/>
          <w:lang w:val="en-US"/>
        </w:rPr>
      </w:pPr>
    </w:p>
    <w:p>
      <w:pPr>
        <w:pStyle w:val="2"/>
        <w:ind w:left="0" w:firstLine="1100" w:firstLineChars="250"/>
        <w:jc w:val="left"/>
        <w:rPr>
          <w:rFonts w:ascii="宋体" w:hAnsi="宋体" w:eastAsia="宋体" w:cs="宋体"/>
          <w:lang w:val="en-US"/>
        </w:rPr>
      </w:pPr>
      <w:bookmarkStart w:id="322" w:name="_Toc846"/>
      <w:bookmarkStart w:id="323" w:name="_Toc4487"/>
      <w:bookmarkStart w:id="324" w:name="_Toc29011"/>
    </w:p>
    <w:p>
      <w:pPr>
        <w:pStyle w:val="2"/>
        <w:ind w:left="0" w:firstLine="1100" w:firstLineChars="250"/>
        <w:jc w:val="left"/>
        <w:rPr>
          <w:rFonts w:ascii="宋体" w:hAnsi="宋体" w:eastAsia="宋体" w:cs="宋体"/>
        </w:rPr>
      </w:pPr>
      <w:r>
        <w:rPr>
          <w:rFonts w:hint="eastAsia" w:ascii="宋体" w:hAnsi="宋体" w:eastAsia="宋体" w:cs="宋体"/>
          <w:lang w:val="en-US"/>
        </w:rPr>
        <w:t>十、</w:t>
      </w:r>
      <w:r>
        <w:rPr>
          <w:rFonts w:hint="eastAsia" w:ascii="宋体" w:hAnsi="宋体" w:eastAsia="宋体" w:cs="宋体"/>
        </w:rPr>
        <w:t>起投价确认表</w:t>
      </w:r>
      <w:bookmarkEnd w:id="322"/>
      <w:bookmarkStart w:id="325" w:name="_Toc14344"/>
      <w:r>
        <w:rPr>
          <w:rFonts w:hint="eastAsia" w:ascii="宋体" w:hAnsi="宋体" w:eastAsia="宋体" w:cs="宋体"/>
        </w:rPr>
        <w:t>（现场展示）</w:t>
      </w:r>
      <w:bookmarkEnd w:id="323"/>
      <w:bookmarkEnd w:id="324"/>
      <w:bookmarkEnd w:id="325"/>
    </w:p>
    <w:p/>
    <w:tbl>
      <w:tblPr>
        <w:tblStyle w:val="21"/>
        <w:tblW w:w="10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200"/>
        <w:gridCol w:w="4755"/>
        <w:gridCol w:w="1110"/>
        <w:gridCol w:w="1050"/>
        <w:gridCol w:w="1170"/>
        <w:gridCol w:w="92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632" w:type="dxa"/>
            <w:vAlign w:val="center"/>
          </w:tcPr>
          <w:p>
            <w:pPr>
              <w:spacing w:line="360" w:lineRule="auto"/>
              <w:jc w:val="both"/>
              <w:rPr>
                <w:bCs/>
                <w:sz w:val="20"/>
                <w:szCs w:val="20"/>
              </w:rPr>
            </w:pPr>
            <w:r>
              <w:rPr>
                <w:rFonts w:hint="eastAsia"/>
                <w:bCs/>
                <w:sz w:val="20"/>
                <w:szCs w:val="20"/>
              </w:rPr>
              <w:t>序号</w:t>
            </w:r>
          </w:p>
        </w:tc>
        <w:tc>
          <w:tcPr>
            <w:tcW w:w="1200" w:type="dxa"/>
            <w:vAlign w:val="center"/>
          </w:tcPr>
          <w:p>
            <w:pPr>
              <w:spacing w:line="360" w:lineRule="auto"/>
              <w:jc w:val="both"/>
              <w:rPr>
                <w:bCs/>
                <w:sz w:val="20"/>
                <w:szCs w:val="20"/>
              </w:rPr>
            </w:pPr>
            <w:r>
              <w:rPr>
                <w:rFonts w:hint="eastAsia"/>
                <w:bCs/>
                <w:sz w:val="20"/>
                <w:szCs w:val="20"/>
              </w:rPr>
              <w:t>地址（说明部分按竞投公告描述)</w:t>
            </w:r>
          </w:p>
        </w:tc>
        <w:tc>
          <w:tcPr>
            <w:tcW w:w="4755" w:type="dxa"/>
            <w:vAlign w:val="center"/>
          </w:tcPr>
          <w:p>
            <w:pPr>
              <w:spacing w:line="360" w:lineRule="auto"/>
              <w:ind w:firstLine="300" w:firstLineChars="150"/>
              <w:jc w:val="both"/>
              <w:rPr>
                <w:bCs/>
                <w:sz w:val="20"/>
                <w:szCs w:val="20"/>
              </w:rPr>
            </w:pPr>
            <w:r>
              <w:rPr>
                <w:rFonts w:hint="eastAsia"/>
                <w:bCs/>
                <w:sz w:val="20"/>
                <w:szCs w:val="20"/>
              </w:rPr>
              <w:t>租赁用途</w:t>
            </w:r>
          </w:p>
        </w:tc>
        <w:tc>
          <w:tcPr>
            <w:tcW w:w="1110" w:type="dxa"/>
            <w:vAlign w:val="center"/>
          </w:tcPr>
          <w:p>
            <w:pPr>
              <w:spacing w:line="360" w:lineRule="auto"/>
              <w:jc w:val="both"/>
              <w:rPr>
                <w:bCs/>
                <w:sz w:val="20"/>
                <w:szCs w:val="20"/>
              </w:rPr>
            </w:pPr>
            <w:r>
              <w:rPr>
                <w:rFonts w:hint="eastAsia"/>
                <w:bCs/>
                <w:sz w:val="20"/>
                <w:szCs w:val="20"/>
              </w:rPr>
              <w:t>租赁面积（㎡）</w:t>
            </w:r>
          </w:p>
        </w:tc>
        <w:tc>
          <w:tcPr>
            <w:tcW w:w="1050" w:type="dxa"/>
            <w:vAlign w:val="center"/>
          </w:tcPr>
          <w:p>
            <w:pPr>
              <w:spacing w:line="360" w:lineRule="auto"/>
              <w:ind w:firstLine="200" w:firstLineChars="100"/>
              <w:jc w:val="both"/>
              <w:rPr>
                <w:bCs/>
                <w:sz w:val="20"/>
                <w:szCs w:val="20"/>
              </w:rPr>
            </w:pPr>
            <w:r>
              <w:rPr>
                <w:rFonts w:hint="eastAsia"/>
                <w:bCs/>
                <w:sz w:val="20"/>
                <w:szCs w:val="20"/>
              </w:rPr>
              <w:t>底价</w:t>
            </w:r>
          </w:p>
          <w:p>
            <w:pPr>
              <w:spacing w:line="360" w:lineRule="auto"/>
              <w:jc w:val="both"/>
              <w:rPr>
                <w:bCs/>
                <w:sz w:val="20"/>
                <w:szCs w:val="20"/>
              </w:rPr>
            </w:pPr>
            <w:r>
              <w:rPr>
                <w:rFonts w:hint="eastAsia"/>
                <w:bCs/>
                <w:sz w:val="20"/>
                <w:szCs w:val="20"/>
              </w:rPr>
              <w:t>（元/月）</w:t>
            </w:r>
          </w:p>
        </w:tc>
        <w:tc>
          <w:tcPr>
            <w:tcW w:w="1170" w:type="dxa"/>
          </w:tcPr>
          <w:p>
            <w:pPr>
              <w:spacing w:line="360" w:lineRule="auto"/>
              <w:ind w:firstLine="200" w:firstLineChars="100"/>
              <w:jc w:val="both"/>
              <w:rPr>
                <w:bCs/>
                <w:sz w:val="20"/>
                <w:szCs w:val="20"/>
              </w:rPr>
            </w:pPr>
            <w:r>
              <w:rPr>
                <w:rFonts w:hint="eastAsia"/>
                <w:bCs/>
                <w:sz w:val="20"/>
                <w:szCs w:val="20"/>
              </w:rPr>
              <w:t>起投价</w:t>
            </w:r>
          </w:p>
          <w:p>
            <w:pPr>
              <w:spacing w:line="360" w:lineRule="auto"/>
              <w:jc w:val="both"/>
              <w:rPr>
                <w:bCs/>
                <w:sz w:val="20"/>
                <w:szCs w:val="20"/>
              </w:rPr>
            </w:pPr>
            <w:r>
              <w:rPr>
                <w:rFonts w:hint="eastAsia"/>
                <w:bCs/>
                <w:sz w:val="20"/>
                <w:szCs w:val="20"/>
              </w:rPr>
              <w:t>（元/月）</w:t>
            </w:r>
          </w:p>
        </w:tc>
        <w:tc>
          <w:tcPr>
            <w:tcW w:w="930" w:type="dxa"/>
            <w:gridSpan w:val="2"/>
          </w:tcPr>
          <w:p>
            <w:pPr>
              <w:spacing w:line="360" w:lineRule="auto"/>
              <w:jc w:val="both"/>
              <w:rPr>
                <w:bCs/>
                <w:sz w:val="20"/>
                <w:szCs w:val="20"/>
              </w:rPr>
            </w:pPr>
            <w:r>
              <w:rPr>
                <w:rFonts w:hint="eastAsia"/>
                <w:bCs/>
                <w:sz w:val="20"/>
                <w:szCs w:val="20"/>
              </w:rPr>
              <w:t>递增价（元）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798" w:hRule="exact"/>
          <w:jc w:val="center"/>
        </w:trPr>
        <w:tc>
          <w:tcPr>
            <w:tcW w:w="632" w:type="dxa"/>
            <w:vAlign w:val="center"/>
          </w:tcPr>
          <w:p>
            <w:pPr>
              <w:widowControl/>
              <w:spacing w:line="360" w:lineRule="auto"/>
              <w:jc w:val="center"/>
              <w:rPr>
                <w:sz w:val="20"/>
                <w:szCs w:val="20"/>
              </w:rPr>
            </w:pPr>
            <w:r>
              <w:rPr>
                <w:rFonts w:hint="eastAsia"/>
                <w:sz w:val="20"/>
                <w:szCs w:val="20"/>
                <w:lang w:val="en-US"/>
              </w:rPr>
              <w:t>1</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Times New Roman" w:hAnsi="Times New Roman" w:cs="Times New Roman"/>
                <w:kern w:val="2"/>
                <w:sz w:val="24"/>
                <w:szCs w:val="20"/>
                <w:lang w:val="en-US" w:bidi="ar-SA"/>
              </w:rPr>
              <w:t xml:space="preserve"> 容桂街道小黄圃社区眉蕉河沿岸、科龙职中以南地块一</w:t>
            </w:r>
          </w:p>
        </w:tc>
        <w:tc>
          <w:tcPr>
            <w:tcW w:w="4755" w:type="dxa"/>
            <w:tcBorders>
              <w:top w:val="single" w:color="auto" w:sz="4" w:space="0"/>
              <w:left w:val="single" w:color="auto" w:sz="4" w:space="0"/>
              <w:bottom w:val="single" w:color="auto" w:sz="4" w:space="0"/>
              <w:right w:val="single" w:color="auto" w:sz="4" w:space="0"/>
            </w:tcBorders>
            <w:vAlign w:val="center"/>
          </w:tcPr>
          <w:p>
            <w:pPr>
              <w:jc w:val="both"/>
              <w:rPr>
                <w:rFonts w:hint="eastAsia" w:ascii="微软雅黑" w:hAnsi="微软雅黑" w:eastAsia="微软雅黑" w:cs="微软雅黑"/>
                <w:color w:val="333333"/>
                <w:spacing w:val="8"/>
                <w:sz w:val="18"/>
                <w:szCs w:val="18"/>
                <w:shd w:val="clear" w:color="auto" w:fill="FFFFFF"/>
                <w:lang w:val="en-US"/>
              </w:rPr>
            </w:pPr>
            <w:r>
              <w:rPr>
                <w:rFonts w:hint="eastAsia" w:ascii="微软雅黑" w:hAnsi="微软雅黑" w:eastAsia="微软雅黑" w:cs="微软雅黑"/>
                <w:color w:val="333333"/>
                <w:spacing w:val="8"/>
                <w:sz w:val="18"/>
                <w:szCs w:val="18"/>
                <w:shd w:val="clear" w:color="auto" w:fill="FFFFFF"/>
                <w:lang w:val="en-US"/>
              </w:rPr>
              <w:t>该项目主要用作国画、粤剧文化展示及弘扬美食文化展示、耕地种植、开放性公园，其中耕地保有量范围1320.73平方米仅限于耕地种植；用于美食文化展示的总面积不超过200平方米。承租方经营使用需符合相关行业要求，且须获相关职能部门审批通过及办理相关证照；承租方需引进获得省级或以上专业资格证书的艺术家进驻开展文化艺术类服务，所引驻的艺术家及艺术项目的相关资料需提交给</w:t>
            </w:r>
            <w:r>
              <w:rPr>
                <w:rFonts w:hint="eastAsia" w:ascii="微软雅黑" w:hAnsi="微软雅黑" w:eastAsia="微软雅黑" w:cs="微软雅黑"/>
                <w:color w:val="333333"/>
                <w:spacing w:val="8"/>
                <w:sz w:val="18"/>
                <w:szCs w:val="18"/>
                <w:shd w:val="clear" w:color="auto" w:fill="FFFFFF"/>
                <w:lang w:val="en-US" w:eastAsia="zh-CN"/>
              </w:rPr>
              <w:t>出租方</w:t>
            </w:r>
            <w:r>
              <w:rPr>
                <w:rFonts w:hint="eastAsia" w:ascii="微软雅黑" w:hAnsi="微软雅黑" w:eastAsia="微软雅黑" w:cs="微软雅黑"/>
                <w:color w:val="333333"/>
                <w:spacing w:val="8"/>
                <w:sz w:val="18"/>
                <w:szCs w:val="18"/>
                <w:shd w:val="clear" w:color="auto" w:fill="FFFFFF"/>
                <w:lang w:val="en-US"/>
              </w:rPr>
              <w:t>备案，其中首次引入需满足以下要求：承租方需至少引进一名国家级画家（国家一级美术师）进驻，且至少引进一名著名粤剧表演艺术家（国家一级演员及中国戏剧梅花奖得主）进驻，引进符合上述条件的艺术家进驻时间不能少于5年，若原引进的艺术家在约定时间内提前退出的，则需补充引入同等级别的艺术家进驻，或其他经出租方书面同意的艺术项目。承租方需在本合同签订之日起90日内将所引驻的艺术家及艺术项目的相关资料提交给</w:t>
            </w:r>
            <w:r>
              <w:rPr>
                <w:rFonts w:hint="eastAsia" w:ascii="微软雅黑" w:hAnsi="微软雅黑" w:eastAsia="微软雅黑" w:cs="微软雅黑"/>
                <w:color w:val="333333"/>
                <w:spacing w:val="8"/>
                <w:sz w:val="18"/>
                <w:szCs w:val="18"/>
                <w:shd w:val="clear" w:color="auto" w:fill="FFFFFF"/>
                <w:lang w:val="en-US" w:eastAsia="zh-CN"/>
              </w:rPr>
              <w:t>出租方</w:t>
            </w:r>
            <w:r>
              <w:rPr>
                <w:rFonts w:hint="eastAsia" w:ascii="微软雅黑" w:hAnsi="微软雅黑" w:eastAsia="微软雅黑" w:cs="微软雅黑"/>
                <w:color w:val="333333"/>
                <w:spacing w:val="8"/>
                <w:sz w:val="18"/>
                <w:szCs w:val="18"/>
                <w:shd w:val="clear" w:color="auto" w:fill="FFFFFF"/>
                <w:lang w:val="en-US"/>
              </w:rPr>
              <w:t>备案。备案资料包括但不限于：艺术家签约进驻协议文本（需艺术家本人签字）、签约艺术家介绍、签约项目介绍（说明合作内容、项目性质、项目经费情况、项目合作期限和艺术家进驻工作时间等；在租赁范围内作为公益用途的场所，承租方必须免费对外开放，且承租方需每季度至少开展1场公益性活动（包括但不限于公益性展览展示、公益性培训等相关活动），全年累计组织开展公益性活动不少于5场，其中公益性培训活动全年累计不少于100人次参与。开展公益活动的佐证材料（包括但不限于活动方案、现场图片、签到表、作品成果等），承租方需于每年度结束后15个工作日内，将佐证材料报</w:t>
            </w:r>
            <w:r>
              <w:rPr>
                <w:rFonts w:hint="eastAsia" w:ascii="微软雅黑" w:hAnsi="微软雅黑" w:eastAsia="微软雅黑" w:cs="微软雅黑"/>
                <w:color w:val="333333"/>
                <w:spacing w:val="8"/>
                <w:sz w:val="18"/>
                <w:szCs w:val="18"/>
                <w:shd w:val="clear" w:color="auto" w:fill="FFFFFF"/>
                <w:lang w:val="en-US" w:eastAsia="zh-CN"/>
              </w:rPr>
              <w:t>出租方</w:t>
            </w:r>
            <w:r>
              <w:rPr>
                <w:rFonts w:hint="eastAsia" w:ascii="微软雅黑" w:hAnsi="微软雅黑" w:eastAsia="微软雅黑" w:cs="微软雅黑"/>
                <w:color w:val="333333"/>
                <w:spacing w:val="8"/>
                <w:sz w:val="18"/>
                <w:szCs w:val="18"/>
                <w:shd w:val="clear" w:color="auto" w:fill="FFFFFF"/>
                <w:lang w:val="en-US"/>
              </w:rPr>
              <w:t>备案。</w:t>
            </w:r>
          </w:p>
        </w:tc>
        <w:tc>
          <w:tcPr>
            <w:tcW w:w="1110" w:type="dxa"/>
            <w:tcBorders>
              <w:top w:val="single" w:color="auto" w:sz="4" w:space="0"/>
              <w:left w:val="single" w:color="auto" w:sz="4" w:space="0"/>
              <w:bottom w:val="single" w:color="auto" w:sz="4" w:space="0"/>
              <w:right w:val="single" w:color="auto" w:sz="4" w:space="0"/>
            </w:tcBorders>
            <w:vAlign w:val="center"/>
          </w:tcPr>
          <w:p>
            <w:pPr>
              <w:jc w:val="both"/>
              <w:rPr>
                <w:rFonts w:hint="eastAsia" w:ascii="微软雅黑" w:hAnsi="微软雅黑" w:eastAsia="微软雅黑" w:cs="微软雅黑"/>
                <w:color w:val="333333"/>
                <w:spacing w:val="8"/>
                <w:sz w:val="18"/>
                <w:szCs w:val="18"/>
                <w:shd w:val="clear" w:color="auto" w:fill="FFFFFF"/>
                <w:lang w:val="en-US"/>
              </w:rPr>
            </w:pPr>
            <w:r>
              <w:rPr>
                <w:rFonts w:hint="eastAsia" w:ascii="微软雅黑" w:hAnsi="微软雅黑" w:eastAsia="微软雅黑" w:cs="微软雅黑"/>
                <w:color w:val="333333"/>
                <w:spacing w:val="8"/>
                <w:sz w:val="18"/>
                <w:szCs w:val="18"/>
                <w:shd w:val="clear" w:color="auto" w:fill="FFFFFF"/>
                <w:lang w:val="en-US"/>
              </w:rPr>
              <w:t>租赁地块总用地面积：10074.98㎡，其中建筑总面积987.41平方米，绿地及空地面积8114.71平方米，耕地保有量范围1320.73平方米。</w:t>
            </w:r>
          </w:p>
          <w:p>
            <w:pPr>
              <w:jc w:val="both"/>
              <w:rPr>
                <w:rFonts w:hint="eastAsia" w:ascii="微软雅黑" w:hAnsi="微软雅黑" w:eastAsia="微软雅黑" w:cs="微软雅黑"/>
                <w:color w:val="333333"/>
                <w:spacing w:val="8"/>
                <w:sz w:val="18"/>
                <w:szCs w:val="18"/>
                <w:shd w:val="clear" w:color="auto" w:fill="FFFFFF"/>
                <w:lang w:val="en-US"/>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lang w:val="en-US"/>
              </w:rPr>
            </w:pPr>
            <w:r>
              <w:rPr>
                <w:rFonts w:hint="eastAsia"/>
                <w:lang w:val="en-US"/>
              </w:rPr>
              <w:t xml:space="preserve"> 16235.00</w:t>
            </w:r>
          </w:p>
        </w:tc>
        <w:tc>
          <w:tcPr>
            <w:tcW w:w="1170" w:type="dxa"/>
          </w:tcPr>
          <w:p>
            <w:pPr>
              <w:spacing w:line="360" w:lineRule="auto"/>
              <w:jc w:val="both"/>
              <w:rPr>
                <w:sz w:val="20"/>
                <w:szCs w:val="20"/>
                <w:lang w:val="en-US"/>
              </w:rPr>
            </w:pPr>
          </w:p>
        </w:tc>
        <w:tc>
          <w:tcPr>
            <w:tcW w:w="924" w:type="dxa"/>
          </w:tcPr>
          <w:p>
            <w:pPr>
              <w:spacing w:line="360" w:lineRule="auto"/>
              <w:jc w:val="both"/>
              <w:rPr>
                <w:sz w:val="20"/>
                <w:szCs w:val="20"/>
              </w:rPr>
            </w:pPr>
          </w:p>
        </w:tc>
      </w:tr>
    </w:tbl>
    <w:p>
      <w:pPr>
        <w:spacing w:line="360" w:lineRule="auto"/>
        <w:jc w:val="both"/>
        <w:rPr>
          <w:bCs/>
          <w:sz w:val="20"/>
          <w:szCs w:val="20"/>
        </w:rPr>
      </w:pPr>
      <w:r>
        <w:rPr>
          <w:rFonts w:hint="eastAsia"/>
          <w:b/>
          <w:sz w:val="28"/>
          <w:szCs w:val="28"/>
        </w:rPr>
        <w:t>注意</w:t>
      </w:r>
      <w:r>
        <w:rPr>
          <w:rFonts w:hint="eastAsia"/>
          <w:bCs/>
          <w:sz w:val="28"/>
          <w:szCs w:val="28"/>
        </w:rPr>
        <w:t>：</w:t>
      </w:r>
    </w:p>
    <w:p>
      <w:pPr>
        <w:numPr>
          <w:ilvl w:val="0"/>
          <w:numId w:val="4"/>
        </w:numPr>
        <w:autoSpaceDE/>
        <w:autoSpaceDN/>
        <w:spacing w:line="360" w:lineRule="auto"/>
        <w:jc w:val="both"/>
        <w:rPr>
          <w:bCs/>
          <w:sz w:val="24"/>
          <w:szCs w:val="24"/>
        </w:rPr>
      </w:pPr>
      <w:r>
        <w:rPr>
          <w:rFonts w:hint="eastAsia"/>
          <w:bCs/>
          <w:sz w:val="24"/>
          <w:szCs w:val="24"/>
        </w:rPr>
        <w:t>起投价的确定由拍卖行在截止登后现场统计，各标的不低于底价的最高报价即为起投价，竞投人如有异议可申请查看。</w:t>
      </w:r>
    </w:p>
    <w:p>
      <w:pPr>
        <w:numPr>
          <w:ilvl w:val="0"/>
          <w:numId w:val="4"/>
        </w:numPr>
        <w:autoSpaceDE/>
        <w:autoSpaceDN/>
        <w:spacing w:line="360" w:lineRule="auto"/>
        <w:jc w:val="both"/>
        <w:rPr>
          <w:bCs/>
          <w:sz w:val="24"/>
          <w:szCs w:val="24"/>
        </w:rPr>
      </w:pPr>
      <w:r>
        <w:rPr>
          <w:rFonts w:hint="eastAsia"/>
          <w:bCs/>
          <w:sz w:val="24"/>
          <w:szCs w:val="24"/>
        </w:rPr>
        <w:t>加价幅度（即递增价）：竞投主持人可根据场上情况调整加价幅度。</w:t>
      </w:r>
    </w:p>
    <w:p>
      <w:pPr>
        <w:autoSpaceDE/>
        <w:autoSpaceDN/>
        <w:spacing w:line="360" w:lineRule="auto"/>
        <w:jc w:val="both"/>
        <w:rPr>
          <w:rFonts w:ascii="仿宋_GB2312" w:hAnsi="仿宋_GB2312" w:eastAsia="仿宋_GB2312" w:cs="仿宋_GB2312"/>
          <w:b/>
          <w:bCs/>
          <w:kern w:val="2"/>
          <w:sz w:val="44"/>
          <w:szCs w:val="44"/>
          <w:lang w:val="en-US" w:bidi="ar-SA"/>
        </w:rPr>
      </w:pPr>
      <w:r>
        <w:rPr>
          <w:rFonts w:hint="eastAsia"/>
          <w:bCs/>
          <w:sz w:val="24"/>
          <w:szCs w:val="24"/>
          <w:lang w:val="en-US"/>
        </w:rPr>
        <w:t>3、</w:t>
      </w:r>
      <w:r>
        <w:rPr>
          <w:rFonts w:hint="eastAsia"/>
          <w:bCs/>
          <w:sz w:val="24"/>
          <w:szCs w:val="24"/>
        </w:rPr>
        <w:t xml:space="preserve">现场可以口头报价，递增价的整数倍即可。    </w:t>
      </w:r>
      <w:bookmarkEnd w:id="316"/>
      <w:bookmarkEnd w:id="317"/>
      <w:bookmarkEnd w:id="318"/>
      <w:bookmarkEnd w:id="319"/>
      <w:bookmarkEnd w:id="320"/>
      <w:bookmarkEnd w:id="321"/>
    </w:p>
    <w:p>
      <w:pPr>
        <w:jc w:val="center"/>
        <w:rPr>
          <w:bCs/>
          <w:sz w:val="40"/>
          <w:szCs w:val="40"/>
        </w:rPr>
      </w:pPr>
      <w:r>
        <w:rPr>
          <w:rFonts w:hint="eastAsia"/>
          <w:b/>
          <w:bCs/>
          <w:sz w:val="44"/>
          <w:szCs w:val="44"/>
        </w:rPr>
        <w:t>租 赁 合 同</w:t>
      </w:r>
    </w:p>
    <w:p>
      <w:pPr>
        <w:spacing w:line="400" w:lineRule="exact"/>
        <w:rPr>
          <w:rFonts w:ascii="仿宋_GB2312"/>
          <w:b/>
          <w:bCs/>
          <w:sz w:val="28"/>
        </w:rPr>
      </w:pPr>
    </w:p>
    <w:p>
      <w:pPr>
        <w:spacing w:line="400" w:lineRule="exact"/>
        <w:rPr>
          <w:rFonts w:ascii="仿宋_GB2312"/>
          <w:b/>
          <w:bCs/>
          <w:sz w:val="28"/>
        </w:rPr>
      </w:pPr>
    </w:p>
    <w:p>
      <w:pPr>
        <w:pStyle w:val="41"/>
        <w:spacing w:line="360" w:lineRule="exact"/>
        <w:rPr>
          <w:rFonts w:ascii="宋体" w:hAnsi="宋体" w:eastAsia="宋体" w:cs="宋体"/>
          <w:b/>
          <w:sz w:val="24"/>
          <w:u w:val="single"/>
        </w:rPr>
      </w:pPr>
      <w:r>
        <w:rPr>
          <w:rFonts w:hint="eastAsia" w:ascii="宋体" w:hAnsi="宋体" w:eastAsia="宋体" w:cs="宋体"/>
          <w:b/>
          <w:sz w:val="24"/>
        </w:rPr>
        <w:t>甲方（出租人）：</w:t>
      </w:r>
      <w:r>
        <w:rPr>
          <w:rFonts w:hint="eastAsia" w:ascii="宋体" w:hAnsi="宋体" w:eastAsia="宋体" w:cs="宋体"/>
          <w:b/>
          <w:sz w:val="24"/>
          <w:u w:val="single"/>
        </w:rPr>
        <w:t xml:space="preserve">  佛山市顺德区容桂时光文旅产业有限公司               </w:t>
      </w:r>
    </w:p>
    <w:p>
      <w:pPr>
        <w:pStyle w:val="41"/>
        <w:spacing w:line="360" w:lineRule="exact"/>
        <w:rPr>
          <w:rFonts w:ascii="宋体" w:hAnsi="宋体" w:eastAsia="宋体" w:cs="宋体"/>
          <w:b/>
          <w:sz w:val="24"/>
        </w:rPr>
      </w:pPr>
      <w:r>
        <w:rPr>
          <w:rFonts w:hint="eastAsia" w:ascii="宋体" w:hAnsi="宋体" w:eastAsia="宋体" w:cs="宋体"/>
          <w:b/>
          <w:sz w:val="24"/>
        </w:rPr>
        <w:t xml:space="preserve">【 】法定代表人【 】负责人【 】其他 </w:t>
      </w:r>
      <w:r>
        <w:rPr>
          <w:rFonts w:hint="eastAsia" w:ascii="宋体" w:hAnsi="宋体" w:eastAsia="宋体" w:cs="宋体"/>
          <w:b/>
          <w:sz w:val="24"/>
          <w:u w:val="single"/>
        </w:rPr>
        <w:t xml:space="preserve">                                 </w:t>
      </w:r>
    </w:p>
    <w:p>
      <w:pPr>
        <w:pStyle w:val="41"/>
        <w:spacing w:line="360" w:lineRule="exact"/>
        <w:rPr>
          <w:rFonts w:ascii="宋体" w:hAnsi="宋体" w:eastAsia="宋体" w:cs="宋体"/>
          <w:sz w:val="24"/>
        </w:rPr>
      </w:pPr>
      <w:r>
        <w:rPr>
          <w:rFonts w:hint="eastAsia" w:ascii="宋体" w:hAnsi="宋体" w:eastAsia="宋体" w:cs="宋体"/>
          <w:sz w:val="24"/>
        </w:rPr>
        <w:t>证件类型：【 】居民身份证【 】护照【</w:t>
      </w:r>
      <w:r>
        <w:rPr>
          <w:rFonts w:ascii="Arial" w:hAnsi="Arial" w:eastAsia="宋体" w:cs="Arial"/>
          <w:sz w:val="24"/>
        </w:rPr>
        <w:t>√</w:t>
      </w:r>
      <w:r>
        <w:rPr>
          <w:rFonts w:hint="eastAsia" w:ascii="宋体" w:hAnsi="宋体" w:eastAsia="宋体" w:cs="宋体"/>
          <w:sz w:val="24"/>
        </w:rPr>
        <w:t>】社会统一信用代码【 】其他</w:t>
      </w:r>
      <w:r>
        <w:rPr>
          <w:rFonts w:hint="eastAsia" w:ascii="宋体" w:hAnsi="宋体" w:eastAsia="宋体" w:cs="宋体"/>
          <w:b/>
          <w:sz w:val="24"/>
          <w:u w:val="single"/>
        </w:rPr>
        <w:t xml:space="preserve">     </w:t>
      </w:r>
    </w:p>
    <w:p>
      <w:pPr>
        <w:pStyle w:val="41"/>
        <w:spacing w:line="360" w:lineRule="exact"/>
        <w:rPr>
          <w:rFonts w:ascii="宋体" w:hAnsi="宋体" w:eastAsia="宋体" w:cs="宋体"/>
          <w:sz w:val="24"/>
        </w:rPr>
      </w:pPr>
      <w:r>
        <w:rPr>
          <w:rFonts w:hint="eastAsia" w:ascii="宋体" w:hAnsi="宋体" w:eastAsia="宋体" w:cs="宋体"/>
          <w:sz w:val="24"/>
        </w:rPr>
        <w:t>证件号码：</w:t>
      </w:r>
      <w:r>
        <w:rPr>
          <w:rFonts w:hint="eastAsia" w:ascii="宋体" w:hAnsi="宋体" w:eastAsia="宋体" w:cs="宋体"/>
          <w:sz w:val="24"/>
          <w:u w:val="single"/>
        </w:rPr>
        <w:t xml:space="preserve">  91440606MA555B7455                                       </w:t>
      </w:r>
    </w:p>
    <w:p>
      <w:pPr>
        <w:pStyle w:val="41"/>
        <w:spacing w:line="360" w:lineRule="exact"/>
        <w:rPr>
          <w:rFonts w:ascii="宋体" w:hAnsi="宋体" w:eastAsia="宋体" w:cs="宋体"/>
          <w:sz w:val="24"/>
          <w:u w:val="single"/>
        </w:rPr>
      </w:pPr>
      <w:r>
        <w:rPr>
          <w:rFonts w:hint="eastAsia" w:ascii="宋体" w:hAnsi="宋体" w:eastAsia="宋体" w:cs="宋体"/>
          <w:sz w:val="24"/>
        </w:rPr>
        <w:t>联系电话：</w:t>
      </w:r>
      <w:r>
        <w:rPr>
          <w:rFonts w:hint="eastAsia" w:ascii="宋体" w:hAnsi="宋体" w:eastAsia="宋体" w:cs="宋体"/>
          <w:sz w:val="24"/>
          <w:u w:val="single"/>
        </w:rPr>
        <w:t xml:space="preserve">  0757-28812407           </w:t>
      </w: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pPr>
        <w:pStyle w:val="41"/>
        <w:spacing w:line="360" w:lineRule="exact"/>
        <w:ind w:right="220" w:rightChars="100"/>
        <w:rPr>
          <w:rFonts w:ascii="宋体" w:hAnsi="宋体" w:eastAsia="宋体" w:cs="宋体"/>
          <w:sz w:val="24"/>
          <w:u w:val="single"/>
        </w:rPr>
      </w:pPr>
      <w:r>
        <w:rPr>
          <w:rFonts w:hint="eastAsia" w:ascii="宋体" w:hAnsi="宋体" w:eastAsia="宋体" w:cs="宋体"/>
          <w:sz w:val="24"/>
        </w:rPr>
        <w:t>通讯地址：</w:t>
      </w:r>
      <w:r>
        <w:rPr>
          <w:rFonts w:hint="eastAsia" w:ascii="宋体" w:hAnsi="宋体" w:eastAsia="宋体" w:cs="宋体"/>
          <w:sz w:val="24"/>
          <w:u w:val="single"/>
        </w:rPr>
        <w:t xml:space="preserve"> 广东省佛山市顺德区容桂街道小黄圃社区朝桂南路1号高骏科技创</w:t>
      </w:r>
    </w:p>
    <w:p>
      <w:pPr>
        <w:pStyle w:val="41"/>
        <w:spacing w:line="360" w:lineRule="exact"/>
        <w:ind w:right="220" w:rightChars="100"/>
        <w:rPr>
          <w:rFonts w:ascii="宋体" w:hAnsi="宋体" w:eastAsia="宋体" w:cs="宋体"/>
          <w:sz w:val="24"/>
          <w:u w:val="single"/>
        </w:rPr>
      </w:pPr>
      <w:r>
        <w:rPr>
          <w:rFonts w:hint="eastAsia" w:ascii="宋体" w:hAnsi="宋体" w:eastAsia="宋体" w:cs="宋体"/>
          <w:sz w:val="24"/>
          <w:u w:val="single"/>
        </w:rPr>
        <w:t xml:space="preserve">新中心4座1201号之三               </w:t>
      </w:r>
    </w:p>
    <w:p>
      <w:pPr>
        <w:pStyle w:val="41"/>
        <w:spacing w:line="360" w:lineRule="exact"/>
        <w:rPr>
          <w:rFonts w:ascii="宋体" w:hAnsi="宋体" w:eastAsia="宋体" w:cs="宋体"/>
          <w:b/>
          <w:sz w:val="24"/>
        </w:rPr>
      </w:pPr>
      <w:r>
        <w:rPr>
          <w:rFonts w:hint="eastAsia" w:ascii="宋体" w:hAnsi="宋体" w:eastAsia="宋体" w:cs="宋体"/>
          <w:b/>
          <w:sz w:val="24"/>
        </w:rPr>
        <w:t>乙方（承租人）：</w:t>
      </w:r>
      <w:r>
        <w:rPr>
          <w:rFonts w:hint="eastAsia" w:ascii="宋体" w:hAnsi="宋体" w:eastAsia="宋体" w:cs="宋体"/>
          <w:b/>
          <w:sz w:val="24"/>
          <w:u w:val="single"/>
        </w:rPr>
        <w:t xml:space="preserve">                                                     </w:t>
      </w:r>
    </w:p>
    <w:p>
      <w:pPr>
        <w:pStyle w:val="41"/>
        <w:spacing w:line="360" w:lineRule="exact"/>
        <w:rPr>
          <w:rFonts w:ascii="宋体" w:hAnsi="宋体" w:eastAsia="宋体" w:cs="宋体"/>
          <w:b/>
          <w:sz w:val="24"/>
        </w:rPr>
      </w:pPr>
      <w:r>
        <w:rPr>
          <w:rFonts w:hint="eastAsia" w:ascii="宋体" w:hAnsi="宋体" w:eastAsia="宋体" w:cs="宋体"/>
          <w:b/>
          <w:sz w:val="24"/>
        </w:rPr>
        <w:t xml:space="preserve">【 】法定代表人【 】负责人【 】其他 </w:t>
      </w:r>
      <w:r>
        <w:rPr>
          <w:rFonts w:hint="eastAsia" w:ascii="宋体" w:hAnsi="宋体" w:eastAsia="宋体" w:cs="宋体"/>
          <w:b/>
          <w:sz w:val="24"/>
          <w:u w:val="single"/>
        </w:rPr>
        <w:t xml:space="preserve">                                 </w:t>
      </w:r>
    </w:p>
    <w:p>
      <w:pPr>
        <w:pStyle w:val="41"/>
        <w:spacing w:line="360" w:lineRule="exact"/>
        <w:rPr>
          <w:rFonts w:ascii="宋体" w:hAnsi="宋体" w:eastAsia="宋体" w:cs="宋体"/>
          <w:sz w:val="24"/>
        </w:rPr>
      </w:pPr>
      <w:r>
        <w:rPr>
          <w:rFonts w:hint="eastAsia" w:ascii="宋体" w:hAnsi="宋体" w:eastAsia="宋体" w:cs="宋体"/>
          <w:sz w:val="24"/>
        </w:rPr>
        <w:t>证件类型：【</w:t>
      </w:r>
      <w:r>
        <w:rPr>
          <w:rFonts w:hint="eastAsia" w:ascii="Arial" w:hAnsi="Arial" w:eastAsia="宋体" w:cs="Arial"/>
          <w:sz w:val="24"/>
        </w:rPr>
        <w:t xml:space="preserve"> </w:t>
      </w:r>
      <w:r>
        <w:rPr>
          <w:rFonts w:hint="eastAsia" w:ascii="宋体" w:hAnsi="宋体" w:eastAsia="宋体" w:cs="宋体"/>
          <w:sz w:val="24"/>
        </w:rPr>
        <w:t>】居民身份证【 】护照【 】社会统一信用代码【 】其他</w:t>
      </w:r>
      <w:r>
        <w:rPr>
          <w:rFonts w:hint="eastAsia" w:ascii="宋体" w:hAnsi="宋体" w:eastAsia="宋体" w:cs="宋体"/>
          <w:b/>
          <w:sz w:val="24"/>
          <w:u w:val="single"/>
        </w:rPr>
        <w:t xml:space="preserve">     </w:t>
      </w:r>
    </w:p>
    <w:p>
      <w:pPr>
        <w:pStyle w:val="41"/>
        <w:spacing w:line="360" w:lineRule="exact"/>
        <w:rPr>
          <w:rFonts w:ascii="宋体" w:hAnsi="宋体" w:eastAsia="宋体" w:cs="宋体"/>
          <w:sz w:val="24"/>
        </w:rPr>
      </w:pPr>
      <w:r>
        <w:rPr>
          <w:rFonts w:hint="eastAsia" w:ascii="宋体" w:hAnsi="宋体" w:eastAsia="宋体" w:cs="宋体"/>
          <w:sz w:val="24"/>
        </w:rPr>
        <w:t>证件号码：</w:t>
      </w:r>
      <w:r>
        <w:rPr>
          <w:rFonts w:hint="eastAsia" w:ascii="宋体" w:hAnsi="宋体" w:eastAsia="宋体" w:cs="宋体"/>
          <w:sz w:val="24"/>
          <w:u w:val="single"/>
        </w:rPr>
        <w:t xml:space="preserve">                                                           </w:t>
      </w:r>
    </w:p>
    <w:p>
      <w:pPr>
        <w:pStyle w:val="41"/>
        <w:spacing w:line="360" w:lineRule="exact"/>
        <w:rPr>
          <w:rFonts w:ascii="宋体" w:hAnsi="宋体" w:eastAsia="宋体" w:cs="宋体"/>
          <w:sz w:val="24"/>
          <w:u w:val="single"/>
        </w:rPr>
      </w:pPr>
      <w:r>
        <w:rPr>
          <w:rFonts w:hint="eastAsia" w:ascii="宋体" w:hAnsi="宋体" w:eastAsia="宋体" w:cs="宋体"/>
          <w:sz w:val="24"/>
        </w:rPr>
        <w:t>联系电话：</w:t>
      </w:r>
      <w:r>
        <w:rPr>
          <w:rFonts w:hint="eastAsia" w:ascii="宋体" w:hAnsi="宋体" w:eastAsia="宋体" w:cs="宋体"/>
          <w:sz w:val="24"/>
          <w:u w:val="single"/>
        </w:rPr>
        <w:t xml:space="preserve">                         </w:t>
      </w: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pPr>
        <w:pStyle w:val="41"/>
        <w:spacing w:line="360" w:lineRule="exact"/>
        <w:rPr>
          <w:rFonts w:ascii="宋体" w:hAnsi="宋体" w:eastAsia="宋体" w:cs="宋体"/>
          <w:sz w:val="24"/>
          <w:u w:val="single"/>
        </w:rPr>
      </w:pPr>
      <w:r>
        <w:rPr>
          <w:rFonts w:hint="eastAsia" w:ascii="宋体" w:hAnsi="宋体" w:eastAsia="宋体" w:cs="宋体"/>
          <w:sz w:val="24"/>
        </w:rPr>
        <w:t>通讯地址：</w:t>
      </w:r>
      <w:r>
        <w:rPr>
          <w:rFonts w:hint="eastAsia" w:ascii="宋体" w:hAnsi="宋体" w:eastAsia="宋体" w:cs="宋体"/>
          <w:sz w:val="24"/>
          <w:u w:val="single"/>
        </w:rPr>
        <w:t xml:space="preserve">                                                           </w:t>
      </w:r>
    </w:p>
    <w:p>
      <w:pPr>
        <w:spacing w:line="400" w:lineRule="exact"/>
        <w:ind w:firstLine="590" w:firstLineChars="245"/>
        <w:rPr>
          <w:rFonts w:ascii="仿宋_GB2312"/>
          <w:b/>
          <w:bCs/>
          <w:sz w:val="24"/>
        </w:rPr>
      </w:pPr>
    </w:p>
    <w:p>
      <w:pPr>
        <w:pStyle w:val="40"/>
        <w:spacing w:line="360" w:lineRule="exact"/>
        <w:ind w:firstLine="480" w:firstLineChars="200"/>
        <w:rPr>
          <w:rFonts w:ascii="宋体" w:hAnsi="宋体" w:cs="宋体"/>
          <w:sz w:val="24"/>
        </w:rPr>
      </w:pPr>
      <w:r>
        <w:rPr>
          <w:rFonts w:hint="eastAsia" w:ascii="宋体" w:hAnsi="宋体" w:cs="宋体"/>
          <w:sz w:val="24"/>
        </w:rPr>
        <w:t>根据《中华人民共和国民法典》及其他有关法律、法规的规定，甲、乙双方经协商一致，就土地使用权租赁事宜达成如下协议：</w:t>
      </w:r>
    </w:p>
    <w:p>
      <w:pPr>
        <w:pStyle w:val="40"/>
        <w:spacing w:line="360" w:lineRule="exact"/>
        <w:ind w:firstLine="480" w:firstLineChars="200"/>
        <w:rPr>
          <w:sz w:val="24"/>
        </w:rPr>
      </w:pPr>
    </w:p>
    <w:p>
      <w:pPr>
        <w:pStyle w:val="40"/>
        <w:numPr>
          <w:ilvl w:val="0"/>
          <w:numId w:val="5"/>
        </w:numPr>
        <w:spacing w:line="360" w:lineRule="exact"/>
        <w:ind w:firstLine="482" w:firstLineChars="200"/>
        <w:rPr>
          <w:b/>
          <w:sz w:val="24"/>
        </w:rPr>
      </w:pPr>
      <w:r>
        <w:rPr>
          <w:b/>
          <w:sz w:val="24"/>
        </w:rPr>
        <w:t>租赁土地的情况、用途及租赁要求</w:t>
      </w:r>
    </w:p>
    <w:p>
      <w:pPr>
        <w:pStyle w:val="40"/>
        <w:numPr>
          <w:ilvl w:val="0"/>
          <w:numId w:val="6"/>
        </w:numPr>
        <w:spacing w:line="360" w:lineRule="exact"/>
        <w:ind w:firstLine="480" w:firstLineChars="200"/>
        <w:rPr>
          <w:sz w:val="24"/>
        </w:rPr>
      </w:pPr>
      <w:r>
        <w:rPr>
          <w:sz w:val="24"/>
        </w:rPr>
        <w:t>租赁土地情况：甲方</w:t>
      </w:r>
      <w:bookmarkStart w:id="326" w:name="_Hlk495853216"/>
      <w:r>
        <w:rPr>
          <w:sz w:val="24"/>
        </w:rPr>
        <w:t>出租的土地位于</w:t>
      </w:r>
      <w:bookmarkEnd w:id="326"/>
      <w:r>
        <w:rPr>
          <w:sz w:val="24"/>
          <w:u w:val="single"/>
        </w:rPr>
        <w:t>佛山市顺德区容桂街道小黄圃社区眉蕉河沿岸、科龙职中以南地块</w:t>
      </w:r>
      <w:r>
        <w:rPr>
          <w:rFonts w:hint="eastAsia"/>
          <w:sz w:val="24"/>
          <w:u w:val="single"/>
        </w:rPr>
        <w:t>一，土地面积</w:t>
      </w:r>
      <w:r>
        <w:rPr>
          <w:rFonts w:hint="eastAsia"/>
          <w:sz w:val="24"/>
          <w:szCs w:val="22"/>
        </w:rPr>
        <w:t>10074.98㎡，其中建筑总面积987.41平方米，绿地及空地面积8114.71平方米，耕地保有量范围1320.73平方米。</w:t>
      </w:r>
      <w:r>
        <w:rPr>
          <w:sz w:val="24"/>
        </w:rPr>
        <w:t>（详见宗地平面图</w:t>
      </w:r>
      <w:r>
        <w:rPr>
          <w:rFonts w:hint="eastAsia"/>
          <w:sz w:val="24"/>
        </w:rPr>
        <w:t>，</w:t>
      </w:r>
      <w:r>
        <w:rPr>
          <w:sz w:val="24"/>
        </w:rPr>
        <w:t>土地</w:t>
      </w:r>
      <w:r>
        <w:rPr>
          <w:rFonts w:hint="eastAsia"/>
          <w:sz w:val="24"/>
        </w:rPr>
        <w:t>及其</w:t>
      </w:r>
      <w:r>
        <w:rPr>
          <w:sz w:val="24"/>
        </w:rPr>
        <w:t>上盖建（构）筑物</w:t>
      </w:r>
      <w:r>
        <w:rPr>
          <w:rFonts w:hint="eastAsia"/>
          <w:sz w:val="24"/>
        </w:rPr>
        <w:t>以下统称“土地”</w:t>
      </w:r>
      <w:r>
        <w:rPr>
          <w:sz w:val="24"/>
        </w:rPr>
        <w:t>）。</w:t>
      </w:r>
    </w:p>
    <w:p>
      <w:pPr>
        <w:pStyle w:val="41"/>
        <w:numPr>
          <w:ilvl w:val="0"/>
          <w:numId w:val="6"/>
        </w:numPr>
        <w:spacing w:line="360" w:lineRule="exact"/>
        <w:ind w:firstLine="480" w:firstLineChars="200"/>
        <w:rPr>
          <w:rFonts w:eastAsia="宋体"/>
          <w:sz w:val="24"/>
        </w:rPr>
      </w:pPr>
      <w:r>
        <w:rPr>
          <w:rFonts w:eastAsia="宋体"/>
          <w:sz w:val="24"/>
        </w:rPr>
        <w:t>租赁土地用途：用于国画、粤剧文化展示及弘扬美食文化展示</w:t>
      </w:r>
      <w:r>
        <w:rPr>
          <w:rFonts w:eastAsia="宋体"/>
          <w:sz w:val="24"/>
          <w:szCs w:val="24"/>
        </w:rPr>
        <w:t>、耕地种植、开放性公园</w:t>
      </w:r>
      <w:r>
        <w:rPr>
          <w:rFonts w:hint="eastAsia" w:ascii="宋体" w:hAnsi="宋体" w:eastAsia="宋体" w:cs="宋体"/>
          <w:sz w:val="24"/>
          <w:szCs w:val="24"/>
        </w:rPr>
        <w:t>，其中</w:t>
      </w:r>
      <w:r>
        <w:rPr>
          <w:rFonts w:hint="eastAsia" w:ascii="宋体" w:hAnsi="宋体" w:eastAsia="宋体" w:cs="宋体"/>
          <w:bCs/>
          <w:sz w:val="24"/>
          <w:szCs w:val="24"/>
        </w:rPr>
        <w:t>耕地保有量范围1320.73平方米仅限于耕地种植</w:t>
      </w:r>
      <w:r>
        <w:rPr>
          <w:rFonts w:hint="eastAsia" w:ascii="宋体" w:hAnsi="宋体" w:eastAsia="宋体" w:cs="宋体"/>
          <w:sz w:val="24"/>
          <w:szCs w:val="24"/>
        </w:rPr>
        <w:t>。租赁地块</w:t>
      </w:r>
      <w:r>
        <w:rPr>
          <w:rFonts w:eastAsia="宋体"/>
          <w:sz w:val="24"/>
        </w:rPr>
        <w:t>不得用作于KTV、酒吧、沐足、私人会所、棋牌室等一切娱乐场所，乙方承诺遵守有关法律的规定，在租赁期内未征得甲方书面同意以及按规定须经有关部门审批而未核准前，不得擅自改变约定的使用用途。</w:t>
      </w:r>
    </w:p>
    <w:p>
      <w:pPr>
        <w:pStyle w:val="41"/>
        <w:spacing w:line="360" w:lineRule="exact"/>
        <w:ind w:firstLine="480" w:firstLineChars="200"/>
        <w:rPr>
          <w:rFonts w:eastAsia="宋体"/>
          <w:sz w:val="24"/>
        </w:rPr>
      </w:pPr>
      <w:r>
        <w:rPr>
          <w:rFonts w:eastAsia="宋体"/>
          <w:sz w:val="24"/>
        </w:rPr>
        <w:t>（三）乙方已充分了解租赁土地的权属</w:t>
      </w:r>
      <w:r>
        <w:rPr>
          <w:rFonts w:hint="eastAsia" w:eastAsia="宋体"/>
          <w:sz w:val="24"/>
        </w:rPr>
        <w:t>（上盖建筑物无独立产权证明）</w:t>
      </w:r>
      <w:r>
        <w:rPr>
          <w:rFonts w:eastAsia="宋体"/>
          <w:sz w:val="24"/>
        </w:rPr>
        <w:t>、面积（含实用面积）、现状、用途、规划、位置、相关行政部门的使用要求、所处环境、所处气候等，乙方接受前述租赁土地的条件，没有任何异议，愿意按现状承租该租赁土地。乙方完全接受租赁土地一切已知和未知的瑕疵并自负责任。乙方不得以租赁土地存在任何瑕疵为由向甲方主张任何责任，向甲方索取赔偿、补偿等款项、拖欠租金或单方要求解除租赁关系（合同的特别约定除外），甲方不承担租赁土地的瑕疵保证。</w:t>
      </w:r>
    </w:p>
    <w:p>
      <w:pPr>
        <w:pStyle w:val="41"/>
        <w:spacing w:line="360" w:lineRule="exact"/>
        <w:ind w:firstLine="480" w:firstLineChars="200"/>
        <w:rPr>
          <w:rFonts w:eastAsia="宋体"/>
          <w:sz w:val="24"/>
        </w:rPr>
      </w:pPr>
      <w:r>
        <w:rPr>
          <w:rFonts w:eastAsia="宋体"/>
          <w:sz w:val="24"/>
        </w:rPr>
        <w:t>（四）甲方依据本合同出租土地给乙方使用，土地的其他权益属甲方所有，地下资源，埋藏物和公用设施均属于甲方，不属于土地的出租范围。</w:t>
      </w:r>
    </w:p>
    <w:p>
      <w:pPr>
        <w:pStyle w:val="41"/>
        <w:spacing w:line="360" w:lineRule="exact"/>
        <w:ind w:firstLine="480" w:firstLineChars="200"/>
        <w:rPr>
          <w:rFonts w:eastAsia="宋体"/>
          <w:sz w:val="24"/>
        </w:rPr>
      </w:pPr>
      <w:r>
        <w:rPr>
          <w:rFonts w:eastAsia="宋体"/>
          <w:sz w:val="24"/>
        </w:rPr>
        <w:t>（五）在租赁范围内，用于美食文化展示的总面积不超过200平方米。</w:t>
      </w:r>
    </w:p>
    <w:p>
      <w:pPr>
        <w:pStyle w:val="41"/>
        <w:spacing w:line="360" w:lineRule="exact"/>
        <w:ind w:firstLine="480" w:firstLineChars="200"/>
        <w:rPr>
          <w:rFonts w:eastAsia="宋体"/>
          <w:sz w:val="24"/>
        </w:rPr>
      </w:pPr>
      <w:r>
        <w:rPr>
          <w:rFonts w:eastAsia="宋体"/>
          <w:sz w:val="24"/>
        </w:rPr>
        <w:t>（六）</w:t>
      </w:r>
      <w:r>
        <w:rPr>
          <w:rFonts w:hint="eastAsia" w:ascii="宋体" w:hAnsi="宋体" w:eastAsia="宋体" w:cs="宋体"/>
          <w:sz w:val="24"/>
          <w:szCs w:val="24"/>
        </w:rPr>
        <w:t>租赁期限内，乙方需引进获得省级或以上专业资格证书的艺术家进驻开展文化艺术类服务，所引驻的艺术家及艺术项目的相关资料需提交给甲方备案，其中首次引入需满足以下要求：</w:t>
      </w:r>
      <w:r>
        <w:rPr>
          <w:rFonts w:eastAsia="宋体"/>
          <w:sz w:val="24"/>
        </w:rPr>
        <w:t>乙方需至少引进一名国家级画家（国家一级美术师）进驻，且至少引进一名著名粤剧表演艺术家（国家一级演员及中国戏剧梅花奖得主）进驻</w:t>
      </w:r>
      <w:r>
        <w:rPr>
          <w:rFonts w:hint="eastAsia" w:eastAsia="宋体"/>
          <w:sz w:val="24"/>
        </w:rPr>
        <w:t>，</w:t>
      </w:r>
      <w:r>
        <w:rPr>
          <w:rFonts w:eastAsia="宋体"/>
          <w:sz w:val="24"/>
        </w:rPr>
        <w:t>引进符合上述条件的艺术家进驻时间不能少于5年，若原引进的艺术家在约定时间内提前退出的，则需补充引入同等级别的艺术家进驻，或其他经甲方书面同意的艺术项目。乙方需</w:t>
      </w:r>
      <w:r>
        <w:rPr>
          <w:rFonts w:hint="eastAsia" w:eastAsia="宋体"/>
          <w:sz w:val="24"/>
        </w:rPr>
        <w:t>在本合同签订之日起90日内</w:t>
      </w:r>
      <w:r>
        <w:rPr>
          <w:rFonts w:eastAsia="宋体"/>
          <w:sz w:val="24"/>
        </w:rPr>
        <w:t>将所引驻的艺术家及艺术项目的相关资料提交给甲方备案。</w:t>
      </w:r>
      <w:r>
        <w:rPr>
          <w:rFonts w:hint="eastAsia" w:eastAsia="宋体"/>
          <w:sz w:val="24"/>
        </w:rPr>
        <w:t>备案资料包括但不限于：艺术家签约进驻协议文本（需艺术家本人签字）、签约艺术家介绍、签约项目介绍（说明合作内容、项目性质、项目经费情况、项目合作期限和艺术家进驻工作时间等。</w:t>
      </w:r>
    </w:p>
    <w:p>
      <w:pPr>
        <w:pStyle w:val="41"/>
        <w:spacing w:line="360" w:lineRule="exact"/>
        <w:ind w:firstLine="480" w:firstLineChars="200"/>
        <w:rPr>
          <w:rFonts w:eastAsia="宋体"/>
          <w:sz w:val="24"/>
        </w:rPr>
      </w:pPr>
      <w:r>
        <w:rPr>
          <w:rFonts w:eastAsia="宋体"/>
          <w:sz w:val="24"/>
        </w:rPr>
        <w:t>（七）在租赁范围内作为公益用途的场所，乙方必须免费对外开放，且乙方需每季度至少开展1场公益性活动（包括但不限于公益性展览展示、公益性培训等相关活动），全年累计组织开展公益性活动不少于5场，其中公益性培训活动全年累计不少于100人次参与。开展公益活动的佐证材料（包括但不限于活动方案、现场图片、签到表、作品成果等），乙方需于每年度结束后15个工作日内，将佐证材料报甲方备案。</w:t>
      </w:r>
    </w:p>
    <w:p>
      <w:pPr>
        <w:pStyle w:val="41"/>
        <w:rPr>
          <w:b/>
          <w:sz w:val="24"/>
        </w:rPr>
      </w:pPr>
    </w:p>
    <w:p>
      <w:pPr>
        <w:pStyle w:val="40"/>
        <w:spacing w:line="360" w:lineRule="exact"/>
        <w:ind w:firstLine="482" w:firstLineChars="200"/>
        <w:rPr>
          <w:b/>
          <w:sz w:val="24"/>
        </w:rPr>
      </w:pPr>
      <w:r>
        <w:rPr>
          <w:b/>
          <w:sz w:val="24"/>
        </w:rPr>
        <w:t>第二条 租赁期限、免租期、履约</w:t>
      </w:r>
      <w:r>
        <w:rPr>
          <w:b/>
          <w:bCs/>
          <w:sz w:val="24"/>
        </w:rPr>
        <w:t>保证</w:t>
      </w:r>
      <w:r>
        <w:rPr>
          <w:b/>
          <w:sz w:val="24"/>
        </w:rPr>
        <w:t>金、租金</w:t>
      </w:r>
    </w:p>
    <w:p>
      <w:pPr>
        <w:pStyle w:val="40"/>
        <w:spacing w:line="360" w:lineRule="exact"/>
        <w:ind w:firstLine="480" w:firstLineChars="200"/>
        <w:rPr>
          <w:sz w:val="24"/>
        </w:rPr>
      </w:pPr>
      <w:r>
        <w:rPr>
          <w:sz w:val="24"/>
        </w:rPr>
        <w:t>（一）租赁期限为</w:t>
      </w:r>
      <w:r>
        <w:rPr>
          <w:sz w:val="24"/>
          <w:u w:val="single"/>
        </w:rPr>
        <w:t xml:space="preserve"> 20 </w:t>
      </w:r>
      <w:r>
        <w:rPr>
          <w:sz w:val="24"/>
        </w:rPr>
        <w:t>年，自租赁土地交付之日起计算，租赁土地交付使用时间以《移交确认书》为准。</w:t>
      </w:r>
    </w:p>
    <w:p>
      <w:pPr>
        <w:pStyle w:val="40"/>
        <w:spacing w:line="360" w:lineRule="exact"/>
        <w:ind w:firstLine="480" w:firstLineChars="200"/>
        <w:rPr>
          <w:sz w:val="24"/>
        </w:rPr>
      </w:pPr>
      <w:r>
        <w:rPr>
          <w:sz w:val="24"/>
        </w:rPr>
        <w:t>（二）租赁期前6个月为免租期，如遇节假日不顺延，免租期内乙方不需要支付租金。续租者（原租户）则无免租期。本合同的其他约定适用于免租期。</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（三）甲乙双方签订合同前，乙方向甲方</w:t>
      </w:r>
      <w:r>
        <w:rPr>
          <w:rFonts w:ascii="Times New Roman" w:hAnsi="Times New Roman" w:cs="Times New Roman"/>
          <w:sz w:val="24"/>
        </w:rPr>
        <w:t>一次性支付</w:t>
      </w:r>
      <w:r>
        <w:rPr>
          <w:rFonts w:ascii="Times New Roman" w:hAnsi="Times New Roman" w:cs="Times New Roman"/>
          <w:sz w:val="24"/>
          <w:szCs w:val="24"/>
        </w:rPr>
        <w:t>履约保证金人民币</w:t>
      </w:r>
      <w:r>
        <w:rPr>
          <w:rFonts w:ascii="Times New Roman" w:hAnsi="Times New Roman" w:cs="Times New Roman"/>
          <w:sz w:val="24"/>
          <w:szCs w:val="24"/>
          <w:u w:val="single"/>
        </w:rPr>
        <w:t xml:space="preserve"> </w:t>
      </w:r>
      <w:r>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元</w:t>
      </w:r>
      <w:r>
        <w:rPr>
          <w:rFonts w:ascii="Times New Roman" w:hAnsi="Times New Roman" w:cs="Times New Roman"/>
          <w:sz w:val="24"/>
          <w:szCs w:val="24"/>
        </w:rPr>
        <w:t>（小写：¥</w:t>
      </w:r>
      <w:r>
        <w:rPr>
          <w:rFonts w:ascii="Times New Roman" w:hAnsi="Times New Roman" w:cs="Times New Roman"/>
          <w:sz w:val="24"/>
          <w:szCs w:val="24"/>
          <w:u w:val="single"/>
          <w:lang w:val="en-US"/>
        </w:rPr>
        <w:t xml:space="preserve">      </w:t>
      </w:r>
      <w:r>
        <w:rPr>
          <w:rFonts w:ascii="Times New Roman" w:hAnsi="Times New Roman" w:cs="Times New Roman"/>
          <w:sz w:val="24"/>
          <w:szCs w:val="24"/>
        </w:rPr>
        <w:t>元），履约保证金按</w:t>
      </w:r>
      <w:r>
        <w:rPr>
          <w:rFonts w:ascii="Times New Roman" w:hAnsi="Times New Roman" w:cs="Times New Roman"/>
          <w:sz w:val="24"/>
          <w:szCs w:val="24"/>
          <w:u w:val="single"/>
        </w:rPr>
        <w:t xml:space="preserve"> </w:t>
      </w:r>
      <w:r>
        <w:rPr>
          <w:rFonts w:ascii="Times New Roman" w:hAnsi="Times New Roman" w:cs="Times New Roman"/>
          <w:sz w:val="24"/>
          <w:szCs w:val="24"/>
          <w:u w:val="single"/>
          <w:lang w:val="en-US"/>
        </w:rPr>
        <w:t xml:space="preserve"> </w:t>
      </w:r>
      <w:r>
        <w:rPr>
          <w:rFonts w:hint="eastAsia" w:ascii="Times New Roman" w:hAnsi="Times New Roman" w:cs="Times New Roman"/>
          <w:sz w:val="24"/>
          <w:szCs w:val="24"/>
          <w:u w:val="single"/>
          <w:lang w:val="en-US"/>
        </w:rPr>
        <w:t>6</w:t>
      </w:r>
      <w:r>
        <w:rPr>
          <w:rFonts w:ascii="Times New Roman" w:hAnsi="Times New Roman" w:cs="Times New Roman"/>
          <w:sz w:val="24"/>
          <w:szCs w:val="24"/>
          <w:u w:val="single"/>
        </w:rPr>
        <w:t xml:space="preserve"> </w:t>
      </w:r>
      <w:r>
        <w:rPr>
          <w:rFonts w:ascii="Times New Roman" w:hAnsi="Times New Roman" w:cs="Times New Roman"/>
          <w:sz w:val="24"/>
          <w:szCs w:val="24"/>
        </w:rPr>
        <w:t>个月租金计算，以甲方开具的收据为准。</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（四）乙方必须在租赁期内保持上述履约保证金之金额不变。如乙方违反本合同的约定，导致甲方需在乙方履约保证金中扣除款项者，乙方须在收到甲方书面通知后七日内，补充缴付扣除之费用。</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五）租赁期满或合同终止，乙方将租赁土地返还甲方之日起30天内，若乙方没有任何违约违法情形及租赁土地不存在任何纠纷的，履约保证金原数（无息）退回给乙方。若乙方尚有未缴清的费用或出现本合同约定的违约情形的，履约保证金优先清偿该费用、违约损失的赔偿及违约金，甲方对乙方未缴清的费用享有追索权。因不可抗力或政府征收原因导致合同提前终止，则不受租约期限制，履约保证金原数（无息）退回给乙方。</w:t>
      </w:r>
    </w:p>
    <w:p>
      <w:pPr>
        <w:pStyle w:val="40"/>
        <w:spacing w:line="360" w:lineRule="exact"/>
        <w:ind w:firstLine="480" w:firstLineChars="200"/>
        <w:rPr>
          <w:sz w:val="24"/>
          <w:shd w:val="clear" w:color="auto" w:fill="FFFFFF"/>
        </w:rPr>
      </w:pPr>
      <w:r>
        <w:rPr>
          <w:sz w:val="24"/>
        </w:rPr>
        <w:t>（六）租金标准及支付方式：起始月租金为人民币</w:t>
      </w:r>
      <w:r>
        <w:rPr>
          <w:sz w:val="24"/>
          <w:u w:val="single"/>
        </w:rPr>
        <w:t xml:space="preserve">       </w:t>
      </w:r>
      <w:r>
        <w:rPr>
          <w:sz w:val="24"/>
        </w:rPr>
        <w:t>元（小写</w:t>
      </w:r>
      <w:r>
        <w:rPr>
          <w:sz w:val="24"/>
          <w:u w:val="single"/>
        </w:rPr>
        <w:t>：¥     元），</w:t>
      </w:r>
      <w:r>
        <w:rPr>
          <w:sz w:val="24"/>
        </w:rPr>
        <w:t>乙方应于本合同签订后</w:t>
      </w:r>
      <w:r>
        <w:rPr>
          <w:sz w:val="24"/>
          <w:u w:val="single"/>
        </w:rPr>
        <w:t xml:space="preserve"> 五 </w:t>
      </w:r>
      <w:r>
        <w:rPr>
          <w:sz w:val="24"/>
        </w:rPr>
        <w:t>日内支付首期租金，之后乙方必须于每月十号前缴付当月租金给甲方，拖欠租金不得用履约保证金抵扣。</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rPr>
        <w:t>（七</w:t>
      </w:r>
      <w:r>
        <w:rPr>
          <w:rFonts w:ascii="Times New Roman" w:hAnsi="Times New Roman" w:cs="Times New Roman"/>
          <w:sz w:val="24"/>
          <w:szCs w:val="24"/>
        </w:rPr>
        <w:t>）租金每3年在原租金基础上递增10%，以此类推，至租赁期满。</w:t>
      </w:r>
    </w:p>
    <w:p>
      <w:pPr>
        <w:spacing w:line="360" w:lineRule="exact"/>
        <w:ind w:right="26" w:rightChars="12" w:firstLine="480" w:firstLineChars="200"/>
        <w:rPr>
          <w:rFonts w:ascii="Times New Roman" w:hAnsi="Times New Roman" w:cs="Times New Roman"/>
          <w:sz w:val="24"/>
          <w:szCs w:val="24"/>
        </w:rPr>
      </w:pPr>
      <w:r>
        <w:rPr>
          <w:rFonts w:ascii="Times New Roman" w:hAnsi="Times New Roman" w:cs="Times New Roman"/>
          <w:sz w:val="24"/>
          <w:szCs w:val="24"/>
        </w:rPr>
        <w:t>即：第一年至第三年月租金为人民币</w:t>
      </w:r>
      <w:r>
        <w:rPr>
          <w:rFonts w:ascii="Times New Roman" w:hAnsi="Times New Roman" w:cs="Times New Roman"/>
          <w:sz w:val="24"/>
          <w:szCs w:val="24"/>
          <w:u w:val="single"/>
        </w:rPr>
        <w:t xml:space="preserve">   </w:t>
      </w:r>
      <w:r>
        <w:rPr>
          <w:rFonts w:ascii="Times New Roman" w:hAnsi="Times New Roman" w:cs="Times New Roman"/>
          <w:sz w:val="24"/>
          <w:szCs w:val="24"/>
        </w:rPr>
        <w:t>元（小写：¥</w:t>
      </w:r>
      <w:r>
        <w:rPr>
          <w:rFonts w:ascii="Times New Roman" w:hAnsi="Times New Roman" w:cs="Times New Roman"/>
          <w:sz w:val="24"/>
          <w:szCs w:val="24"/>
          <w:u w:val="single"/>
        </w:rPr>
        <w:t xml:space="preserve">     </w:t>
      </w:r>
      <w:r>
        <w:rPr>
          <w:rFonts w:ascii="Times New Roman" w:hAnsi="Times New Roman" w:cs="Times New Roman"/>
          <w:sz w:val="24"/>
          <w:szCs w:val="24"/>
        </w:rPr>
        <w:t>元）；</w:t>
      </w:r>
    </w:p>
    <w:p>
      <w:pPr>
        <w:spacing w:line="360" w:lineRule="exact"/>
        <w:ind w:right="26" w:rightChars="12" w:firstLine="480" w:firstLineChars="200"/>
        <w:rPr>
          <w:rFonts w:ascii="Times New Roman" w:hAnsi="Times New Roman" w:cs="Times New Roman"/>
          <w:sz w:val="24"/>
          <w:szCs w:val="24"/>
        </w:rPr>
      </w:pPr>
      <w:r>
        <w:rPr>
          <w:rFonts w:ascii="Times New Roman" w:hAnsi="Times New Roman" w:cs="Times New Roman"/>
          <w:sz w:val="24"/>
          <w:szCs w:val="24"/>
        </w:rPr>
        <w:t>第四年至第六年月租金为人民币</w:t>
      </w:r>
      <w:r>
        <w:rPr>
          <w:rFonts w:ascii="Times New Roman" w:hAnsi="Times New Roman" w:cs="Times New Roman"/>
          <w:sz w:val="24"/>
          <w:szCs w:val="24"/>
          <w:u w:val="single"/>
        </w:rPr>
        <w:t xml:space="preserve">   </w:t>
      </w:r>
      <w:r>
        <w:rPr>
          <w:rFonts w:ascii="Times New Roman" w:hAnsi="Times New Roman" w:cs="Times New Roman"/>
          <w:sz w:val="24"/>
          <w:szCs w:val="24"/>
        </w:rPr>
        <w:t>元（小写：¥</w:t>
      </w:r>
      <w:r>
        <w:rPr>
          <w:rFonts w:ascii="Times New Roman" w:hAnsi="Times New Roman" w:cs="Times New Roman"/>
          <w:sz w:val="24"/>
          <w:szCs w:val="24"/>
          <w:u w:val="single"/>
        </w:rPr>
        <w:t xml:space="preserve">     </w:t>
      </w:r>
      <w:r>
        <w:rPr>
          <w:rFonts w:ascii="Times New Roman" w:hAnsi="Times New Roman" w:cs="Times New Roman"/>
          <w:sz w:val="24"/>
          <w:szCs w:val="24"/>
        </w:rPr>
        <w:t>元）；</w:t>
      </w:r>
    </w:p>
    <w:p>
      <w:pPr>
        <w:spacing w:line="360" w:lineRule="exact"/>
        <w:ind w:right="26" w:rightChars="12" w:firstLine="480" w:firstLineChars="200"/>
        <w:rPr>
          <w:rFonts w:ascii="Times New Roman" w:hAnsi="Times New Roman" w:cs="Times New Roman"/>
          <w:sz w:val="24"/>
          <w:szCs w:val="24"/>
        </w:rPr>
      </w:pPr>
      <w:r>
        <w:rPr>
          <w:rFonts w:ascii="Times New Roman" w:hAnsi="Times New Roman" w:cs="Times New Roman"/>
          <w:sz w:val="24"/>
          <w:szCs w:val="24"/>
        </w:rPr>
        <w:t>第七年至第九年月租金为人民币</w:t>
      </w:r>
      <w:r>
        <w:rPr>
          <w:rFonts w:ascii="Times New Roman" w:hAnsi="Times New Roman" w:cs="Times New Roman"/>
          <w:sz w:val="24"/>
          <w:szCs w:val="24"/>
          <w:u w:val="single"/>
        </w:rPr>
        <w:t xml:space="preserve">   </w:t>
      </w:r>
      <w:r>
        <w:rPr>
          <w:rFonts w:ascii="Times New Roman" w:hAnsi="Times New Roman" w:cs="Times New Roman"/>
          <w:sz w:val="24"/>
          <w:szCs w:val="24"/>
        </w:rPr>
        <w:t>元（小写：¥</w:t>
      </w:r>
      <w:r>
        <w:rPr>
          <w:rFonts w:ascii="Times New Roman" w:hAnsi="Times New Roman" w:cs="Times New Roman"/>
          <w:sz w:val="24"/>
          <w:szCs w:val="24"/>
          <w:u w:val="single"/>
        </w:rPr>
        <w:t xml:space="preserve">     </w:t>
      </w:r>
      <w:r>
        <w:rPr>
          <w:rFonts w:ascii="Times New Roman" w:hAnsi="Times New Roman" w:cs="Times New Roman"/>
          <w:sz w:val="24"/>
          <w:szCs w:val="24"/>
        </w:rPr>
        <w:t>元）；</w:t>
      </w:r>
    </w:p>
    <w:p>
      <w:pPr>
        <w:spacing w:line="360" w:lineRule="exact"/>
        <w:ind w:right="26" w:rightChars="12" w:firstLine="480" w:firstLineChars="200"/>
        <w:rPr>
          <w:rFonts w:ascii="Times New Roman" w:hAnsi="Times New Roman" w:cs="Times New Roman"/>
          <w:sz w:val="24"/>
          <w:szCs w:val="24"/>
        </w:rPr>
      </w:pPr>
      <w:r>
        <w:rPr>
          <w:rFonts w:ascii="Times New Roman" w:hAnsi="Times New Roman" w:cs="Times New Roman"/>
          <w:sz w:val="24"/>
          <w:szCs w:val="24"/>
        </w:rPr>
        <w:t>第十年至十二年月租金为人民币</w:t>
      </w:r>
      <w:r>
        <w:rPr>
          <w:rFonts w:ascii="Times New Roman" w:hAnsi="Times New Roman" w:cs="Times New Roman"/>
          <w:sz w:val="24"/>
          <w:szCs w:val="24"/>
          <w:u w:val="single"/>
        </w:rPr>
        <w:t xml:space="preserve">   </w:t>
      </w:r>
      <w:r>
        <w:rPr>
          <w:rFonts w:ascii="Times New Roman" w:hAnsi="Times New Roman" w:cs="Times New Roman"/>
          <w:sz w:val="24"/>
          <w:szCs w:val="24"/>
        </w:rPr>
        <w:t>元（小写：¥</w:t>
      </w:r>
      <w:r>
        <w:rPr>
          <w:rFonts w:ascii="Times New Roman" w:hAnsi="Times New Roman" w:cs="Times New Roman"/>
          <w:sz w:val="24"/>
          <w:szCs w:val="24"/>
          <w:u w:val="single"/>
        </w:rPr>
        <w:t xml:space="preserve">     </w:t>
      </w:r>
      <w:r>
        <w:rPr>
          <w:rFonts w:ascii="Times New Roman" w:hAnsi="Times New Roman" w:cs="Times New Roman"/>
          <w:sz w:val="24"/>
          <w:szCs w:val="24"/>
        </w:rPr>
        <w:t>元）；</w:t>
      </w:r>
    </w:p>
    <w:p>
      <w:pPr>
        <w:spacing w:line="360" w:lineRule="exact"/>
        <w:ind w:right="26" w:rightChars="12" w:firstLine="480" w:firstLineChars="200"/>
        <w:rPr>
          <w:rFonts w:ascii="Times New Roman" w:hAnsi="Times New Roman" w:cs="Times New Roman"/>
          <w:sz w:val="24"/>
          <w:szCs w:val="24"/>
        </w:rPr>
      </w:pPr>
      <w:r>
        <w:rPr>
          <w:rFonts w:ascii="Times New Roman" w:hAnsi="Times New Roman" w:cs="Times New Roman"/>
          <w:sz w:val="24"/>
          <w:szCs w:val="24"/>
        </w:rPr>
        <w:t>第十三年至十五年月租金为人民币</w:t>
      </w:r>
      <w:r>
        <w:rPr>
          <w:rFonts w:ascii="Times New Roman" w:hAnsi="Times New Roman" w:cs="Times New Roman"/>
          <w:sz w:val="24"/>
          <w:szCs w:val="24"/>
          <w:u w:val="single"/>
        </w:rPr>
        <w:t xml:space="preserve">   </w:t>
      </w:r>
      <w:r>
        <w:rPr>
          <w:rFonts w:ascii="Times New Roman" w:hAnsi="Times New Roman" w:cs="Times New Roman"/>
          <w:sz w:val="24"/>
          <w:szCs w:val="24"/>
        </w:rPr>
        <w:t>元（小写：¥</w:t>
      </w:r>
      <w:r>
        <w:rPr>
          <w:rFonts w:ascii="Times New Roman" w:hAnsi="Times New Roman" w:cs="Times New Roman"/>
          <w:sz w:val="24"/>
          <w:szCs w:val="24"/>
          <w:u w:val="single"/>
        </w:rPr>
        <w:t xml:space="preserve">     </w:t>
      </w:r>
      <w:r>
        <w:rPr>
          <w:rFonts w:ascii="Times New Roman" w:hAnsi="Times New Roman" w:cs="Times New Roman"/>
          <w:sz w:val="24"/>
          <w:szCs w:val="24"/>
        </w:rPr>
        <w:t>元）；</w:t>
      </w:r>
    </w:p>
    <w:p>
      <w:pPr>
        <w:spacing w:line="360" w:lineRule="exact"/>
        <w:ind w:right="26" w:rightChars="12" w:firstLine="480" w:firstLineChars="200"/>
        <w:rPr>
          <w:rFonts w:ascii="Times New Roman" w:hAnsi="Times New Roman" w:cs="Times New Roman"/>
          <w:sz w:val="24"/>
          <w:szCs w:val="24"/>
        </w:rPr>
      </w:pPr>
      <w:r>
        <w:rPr>
          <w:rFonts w:ascii="Times New Roman" w:hAnsi="Times New Roman" w:cs="Times New Roman"/>
          <w:sz w:val="24"/>
          <w:szCs w:val="24"/>
        </w:rPr>
        <w:t>第十六年至十八年月租金为人民币</w:t>
      </w:r>
      <w:r>
        <w:rPr>
          <w:rFonts w:ascii="Times New Roman" w:hAnsi="Times New Roman" w:cs="Times New Roman"/>
          <w:sz w:val="24"/>
          <w:szCs w:val="24"/>
          <w:u w:val="single"/>
        </w:rPr>
        <w:t xml:space="preserve">   </w:t>
      </w:r>
      <w:r>
        <w:rPr>
          <w:rFonts w:ascii="Times New Roman" w:hAnsi="Times New Roman" w:cs="Times New Roman"/>
          <w:sz w:val="24"/>
          <w:szCs w:val="24"/>
        </w:rPr>
        <w:t>元（小写：¥</w:t>
      </w:r>
      <w:r>
        <w:rPr>
          <w:rFonts w:ascii="Times New Roman" w:hAnsi="Times New Roman" w:cs="Times New Roman"/>
          <w:sz w:val="24"/>
          <w:szCs w:val="24"/>
          <w:u w:val="single"/>
        </w:rPr>
        <w:t xml:space="preserve">     </w:t>
      </w:r>
      <w:r>
        <w:rPr>
          <w:rFonts w:ascii="Times New Roman" w:hAnsi="Times New Roman" w:cs="Times New Roman"/>
          <w:sz w:val="24"/>
          <w:szCs w:val="24"/>
        </w:rPr>
        <w:t>元）；</w:t>
      </w:r>
    </w:p>
    <w:p>
      <w:pPr>
        <w:spacing w:line="360" w:lineRule="exact"/>
        <w:ind w:right="26" w:rightChars="12" w:firstLine="480" w:firstLineChars="200"/>
        <w:rPr>
          <w:rFonts w:ascii="Times New Roman" w:hAnsi="Times New Roman" w:cs="Times New Roman"/>
          <w:sz w:val="24"/>
          <w:szCs w:val="24"/>
        </w:rPr>
      </w:pPr>
      <w:r>
        <w:rPr>
          <w:rFonts w:ascii="Times New Roman" w:hAnsi="Times New Roman" w:cs="Times New Roman"/>
          <w:sz w:val="24"/>
          <w:szCs w:val="24"/>
        </w:rPr>
        <w:t>第十九年至二十年月租金为人民币</w:t>
      </w:r>
      <w:r>
        <w:rPr>
          <w:rFonts w:ascii="Times New Roman" w:hAnsi="Times New Roman" w:cs="Times New Roman"/>
          <w:sz w:val="24"/>
          <w:szCs w:val="24"/>
          <w:u w:val="single"/>
        </w:rPr>
        <w:t xml:space="preserve">   </w:t>
      </w:r>
      <w:r>
        <w:rPr>
          <w:rFonts w:ascii="Times New Roman" w:hAnsi="Times New Roman" w:cs="Times New Roman"/>
          <w:sz w:val="24"/>
          <w:szCs w:val="24"/>
        </w:rPr>
        <w:t>元（小写：¥</w:t>
      </w:r>
      <w:r>
        <w:rPr>
          <w:rFonts w:ascii="Times New Roman" w:hAnsi="Times New Roman" w:cs="Times New Roman"/>
          <w:sz w:val="24"/>
          <w:szCs w:val="24"/>
          <w:u w:val="single"/>
        </w:rPr>
        <w:t xml:space="preserve">     </w:t>
      </w:r>
      <w:r>
        <w:rPr>
          <w:rFonts w:ascii="Times New Roman" w:hAnsi="Times New Roman" w:cs="Times New Roman"/>
          <w:sz w:val="24"/>
          <w:szCs w:val="24"/>
        </w:rPr>
        <w:t>元）；</w:t>
      </w:r>
    </w:p>
    <w:p>
      <w:pPr>
        <w:pStyle w:val="41"/>
        <w:spacing w:line="360" w:lineRule="exact"/>
        <w:ind w:firstLine="458" w:firstLineChars="191"/>
        <w:rPr>
          <w:rFonts w:eastAsia="宋体"/>
          <w:sz w:val="24"/>
        </w:rPr>
      </w:pPr>
      <w:r>
        <w:rPr>
          <w:rFonts w:eastAsia="宋体"/>
          <w:sz w:val="24"/>
        </w:rPr>
        <w:t>（八）甲方账号信息如下：</w:t>
      </w:r>
    </w:p>
    <w:p>
      <w:pPr>
        <w:pStyle w:val="41"/>
        <w:spacing w:line="360" w:lineRule="exact"/>
        <w:ind w:firstLine="480" w:firstLineChars="200"/>
        <w:rPr>
          <w:rFonts w:eastAsia="宋体"/>
          <w:sz w:val="24"/>
          <w:u w:val="single"/>
        </w:rPr>
      </w:pPr>
      <w:r>
        <w:rPr>
          <w:rFonts w:eastAsia="宋体"/>
          <w:kern w:val="0"/>
          <w:sz w:val="24"/>
          <w:lang w:val="zh-CN" w:bidi="zh-CN"/>
        </w:rPr>
        <w:t>户</w:t>
      </w:r>
      <w:r>
        <w:rPr>
          <w:rFonts w:eastAsia="宋体"/>
          <w:kern w:val="0"/>
          <w:sz w:val="24"/>
          <w:lang w:bidi="zh-CN"/>
        </w:rPr>
        <w:t xml:space="preserve">  </w:t>
      </w:r>
      <w:r>
        <w:rPr>
          <w:rFonts w:eastAsia="宋体"/>
          <w:kern w:val="0"/>
          <w:sz w:val="24"/>
          <w:lang w:val="zh-CN" w:bidi="zh-CN"/>
        </w:rPr>
        <w:t>名：</w:t>
      </w:r>
      <w:r>
        <w:rPr>
          <w:rFonts w:eastAsia="宋体"/>
          <w:kern w:val="0"/>
          <w:sz w:val="24"/>
          <w:u w:val="single"/>
          <w:lang w:val="zh-CN" w:bidi="zh-CN"/>
        </w:rPr>
        <w:t xml:space="preserve"> 佛山市顺德区容桂时光文旅产业有限公司    </w:t>
      </w:r>
    </w:p>
    <w:p>
      <w:pPr>
        <w:pStyle w:val="41"/>
        <w:spacing w:line="360" w:lineRule="exact"/>
        <w:ind w:firstLine="480" w:firstLineChars="200"/>
        <w:rPr>
          <w:rFonts w:eastAsia="宋体"/>
          <w:sz w:val="24"/>
          <w:u w:val="single"/>
        </w:rPr>
      </w:pPr>
      <w:r>
        <w:rPr>
          <w:rFonts w:eastAsia="宋体"/>
          <w:sz w:val="24"/>
        </w:rPr>
        <w:t>账  号：</w:t>
      </w:r>
      <w:r>
        <w:rPr>
          <w:rFonts w:eastAsia="宋体"/>
          <w:sz w:val="24"/>
          <w:u w:val="single"/>
        </w:rPr>
        <w:t xml:space="preserve"> </w:t>
      </w:r>
      <w:r>
        <w:rPr>
          <w:rFonts w:eastAsia="宋体"/>
          <w:kern w:val="0"/>
          <w:sz w:val="24"/>
          <w:u w:val="single"/>
        </w:rPr>
        <w:t xml:space="preserve">801101001182638347                      </w:t>
      </w:r>
    </w:p>
    <w:p>
      <w:pPr>
        <w:pStyle w:val="40"/>
        <w:spacing w:line="360" w:lineRule="exact"/>
        <w:ind w:firstLine="480" w:firstLineChars="200"/>
        <w:rPr>
          <w:b/>
          <w:sz w:val="24"/>
        </w:rPr>
      </w:pPr>
      <w:r>
        <w:rPr>
          <w:sz w:val="24"/>
        </w:rPr>
        <w:t>开户行：</w:t>
      </w:r>
      <w:r>
        <w:rPr>
          <w:sz w:val="24"/>
          <w:u w:val="single"/>
        </w:rPr>
        <w:t xml:space="preserve"> 广东顺德农村商业银行股份有限公司容桂支行     </w:t>
      </w:r>
    </w:p>
    <w:p>
      <w:pPr>
        <w:pStyle w:val="40"/>
        <w:spacing w:line="360" w:lineRule="exact"/>
        <w:ind w:firstLine="482" w:firstLineChars="200"/>
        <w:rPr>
          <w:b/>
          <w:sz w:val="24"/>
        </w:rPr>
      </w:pPr>
    </w:p>
    <w:p>
      <w:pPr>
        <w:pStyle w:val="40"/>
        <w:spacing w:line="360" w:lineRule="exact"/>
        <w:ind w:firstLine="482" w:firstLineChars="200"/>
        <w:rPr>
          <w:b/>
          <w:sz w:val="24"/>
        </w:rPr>
      </w:pPr>
      <w:r>
        <w:rPr>
          <w:b/>
          <w:sz w:val="24"/>
        </w:rPr>
        <w:t>第三条 租赁土地的交付、返还：</w:t>
      </w:r>
    </w:p>
    <w:p>
      <w:pPr>
        <w:pStyle w:val="40"/>
        <w:spacing w:line="360" w:lineRule="exact"/>
        <w:ind w:firstLine="480" w:firstLineChars="200"/>
        <w:rPr>
          <w:sz w:val="24"/>
        </w:rPr>
      </w:pPr>
      <w:r>
        <w:rPr>
          <w:sz w:val="24"/>
        </w:rPr>
        <w:t>甲方根据实际情况并按现状将租赁土地移交给乙方，甲方向乙方移交租赁土地时，乙方应配合甲方并按甲方的要求签订书面的《移交确认书》。若乙方无正当理由拒绝接收租赁土地、拒绝签订《移交确认书》的，每逾期一日，甲方有权要求乙方按日租金标准的1.5倍支付违约金。本合同终止之日起30日内，甲、乙双方应对租赁土地和附属物品、设备、设施及水电气使用等情况进行交验，乙方应按本合同的约定和《移交确认书》返还租赁土地及其附属物品、设备设施、房门钥匙等，并结清应当承担的费用。</w:t>
      </w:r>
    </w:p>
    <w:p>
      <w:pPr>
        <w:pStyle w:val="40"/>
        <w:spacing w:line="360" w:lineRule="exact"/>
        <w:ind w:firstLine="482" w:firstLineChars="200"/>
        <w:rPr>
          <w:b/>
          <w:sz w:val="24"/>
        </w:rPr>
      </w:pPr>
      <w:r>
        <w:rPr>
          <w:b/>
          <w:sz w:val="24"/>
        </w:rPr>
        <w:t>第四条 其他相关费用的承担</w:t>
      </w:r>
    </w:p>
    <w:p>
      <w:pPr>
        <w:spacing w:line="360" w:lineRule="exact"/>
        <w:ind w:firstLine="319" w:firstLineChars="133"/>
        <w:rPr>
          <w:rFonts w:ascii="Times New Roman" w:hAnsi="Times New Roman" w:cs="Times New Roman"/>
          <w:sz w:val="24"/>
        </w:rPr>
      </w:pPr>
      <w:r>
        <w:rPr>
          <w:rFonts w:ascii="Times New Roman" w:hAnsi="Times New Roman" w:cs="Times New Roman"/>
          <w:sz w:val="24"/>
        </w:rPr>
        <w:t>（一）租赁土地的水、电开通（含开表）办理及安装的手续和费用全部由乙方承担。</w:t>
      </w:r>
    </w:p>
    <w:p>
      <w:pPr>
        <w:spacing w:line="360" w:lineRule="exact"/>
        <w:ind w:firstLine="319" w:firstLineChars="133"/>
        <w:rPr>
          <w:rFonts w:ascii="Times New Roman" w:hAnsi="Times New Roman" w:cs="Times New Roman"/>
          <w:sz w:val="24"/>
        </w:rPr>
      </w:pPr>
      <w:r>
        <w:rPr>
          <w:rFonts w:ascii="Times New Roman" w:hAnsi="Times New Roman" w:cs="Times New Roman"/>
          <w:sz w:val="24"/>
        </w:rPr>
        <w:t>（二）租赁期间甲乙双方实行各付各税原则。土地使用税、租赁税由甲方支付，其他税费（包括但不限于租赁土地本身及乙方经营活动所产生的一切税费、水电费、维修费等）由乙方支付。</w:t>
      </w:r>
    </w:p>
    <w:p>
      <w:pPr>
        <w:pStyle w:val="41"/>
        <w:spacing w:line="360" w:lineRule="exact"/>
        <w:ind w:firstLine="482" w:firstLineChars="200"/>
        <w:rPr>
          <w:rFonts w:eastAsia="宋体"/>
          <w:b/>
          <w:bCs/>
          <w:sz w:val="24"/>
        </w:rPr>
      </w:pPr>
    </w:p>
    <w:p>
      <w:pPr>
        <w:pStyle w:val="41"/>
        <w:spacing w:line="360" w:lineRule="exact"/>
        <w:ind w:firstLine="482" w:firstLineChars="200"/>
        <w:rPr>
          <w:rFonts w:eastAsia="宋体"/>
          <w:b/>
          <w:bCs/>
          <w:sz w:val="24"/>
        </w:rPr>
      </w:pPr>
      <w:r>
        <w:rPr>
          <w:rFonts w:eastAsia="宋体"/>
          <w:b/>
          <w:bCs/>
          <w:sz w:val="24"/>
        </w:rPr>
        <w:t>第五条 成交方式</w:t>
      </w:r>
    </w:p>
    <w:p>
      <w:pPr>
        <w:pStyle w:val="41"/>
        <w:spacing w:line="360" w:lineRule="exact"/>
        <w:ind w:firstLine="480" w:firstLineChars="200"/>
        <w:rPr>
          <w:rFonts w:eastAsia="宋体"/>
          <w:sz w:val="24"/>
        </w:rPr>
      </w:pPr>
      <w:r>
        <w:rPr>
          <w:rFonts w:eastAsia="宋体"/>
          <w:sz w:val="24"/>
        </w:rPr>
        <w:t>本租赁土地租赁通过下列方式成交：</w:t>
      </w:r>
    </w:p>
    <w:p>
      <w:pPr>
        <w:pStyle w:val="41"/>
        <w:spacing w:line="360" w:lineRule="exact"/>
        <w:ind w:firstLine="480" w:firstLineChars="200"/>
        <w:rPr>
          <w:rFonts w:eastAsia="宋体"/>
          <w:sz w:val="24"/>
        </w:rPr>
      </w:pPr>
      <w:r>
        <w:rPr>
          <w:rFonts w:eastAsia="宋体"/>
          <w:sz w:val="24"/>
        </w:rPr>
        <w:t>【√】经公开交易平台（机构名称：</w:t>
      </w:r>
      <w:r>
        <w:rPr>
          <w:rFonts w:eastAsia="宋体"/>
          <w:sz w:val="24"/>
          <w:u w:val="single"/>
        </w:rPr>
        <w:t xml:space="preserve"> 容桂街道公共资源交易中心 </w:t>
      </w:r>
      <w:r>
        <w:rPr>
          <w:rFonts w:eastAsia="宋体"/>
          <w:sz w:val="24"/>
        </w:rPr>
        <w:t>，联系电话：</w:t>
      </w:r>
      <w:r>
        <w:rPr>
          <w:rFonts w:eastAsia="宋体"/>
          <w:sz w:val="24"/>
          <w:u w:val="single"/>
        </w:rPr>
        <w:t xml:space="preserve"> 0757-28381006</w:t>
      </w:r>
      <w:r>
        <w:rPr>
          <w:rFonts w:eastAsia="宋体"/>
          <w:sz w:val="24"/>
        </w:rPr>
        <w:t>）公开竞投/招标成交；</w:t>
      </w:r>
    </w:p>
    <w:p>
      <w:pPr>
        <w:pStyle w:val="41"/>
        <w:spacing w:line="360" w:lineRule="exact"/>
        <w:ind w:firstLine="480" w:firstLineChars="200"/>
        <w:rPr>
          <w:rFonts w:eastAsia="宋体"/>
          <w:sz w:val="24"/>
        </w:rPr>
      </w:pPr>
      <w:r>
        <w:rPr>
          <w:rFonts w:eastAsia="宋体"/>
          <w:sz w:val="24"/>
        </w:rPr>
        <w:t>【 】甲乙双方自行协议成交；</w:t>
      </w:r>
    </w:p>
    <w:p>
      <w:pPr>
        <w:pStyle w:val="41"/>
        <w:spacing w:line="360" w:lineRule="exact"/>
        <w:ind w:firstLine="480" w:firstLineChars="200"/>
        <w:rPr>
          <w:rFonts w:eastAsia="宋体"/>
          <w:sz w:val="24"/>
        </w:rPr>
      </w:pPr>
      <w:r>
        <w:rPr>
          <w:rFonts w:eastAsia="宋体"/>
          <w:sz w:val="24"/>
        </w:rPr>
        <w:t>【 】其他</w:t>
      </w:r>
      <w:r>
        <w:rPr>
          <w:rFonts w:eastAsia="宋体"/>
          <w:sz w:val="24"/>
          <w:u w:val="single"/>
        </w:rPr>
        <w:t xml:space="preserve">      /        </w:t>
      </w:r>
      <w:r>
        <w:rPr>
          <w:rFonts w:eastAsia="宋体"/>
          <w:sz w:val="24"/>
        </w:rPr>
        <w:t>。</w:t>
      </w:r>
    </w:p>
    <w:p>
      <w:pPr>
        <w:pStyle w:val="41"/>
        <w:spacing w:line="360" w:lineRule="exact"/>
        <w:ind w:firstLine="480"/>
        <w:rPr>
          <w:rFonts w:eastAsia="宋体"/>
          <w:b/>
          <w:sz w:val="24"/>
        </w:rPr>
      </w:pPr>
    </w:p>
    <w:p>
      <w:pPr>
        <w:pStyle w:val="41"/>
        <w:spacing w:line="360" w:lineRule="exact"/>
        <w:ind w:firstLine="480"/>
        <w:rPr>
          <w:rFonts w:eastAsia="宋体"/>
          <w:b/>
          <w:sz w:val="24"/>
        </w:rPr>
      </w:pPr>
      <w:r>
        <w:rPr>
          <w:rFonts w:eastAsia="宋体"/>
          <w:b/>
          <w:sz w:val="24"/>
        </w:rPr>
        <w:t>第六条 转租</w:t>
      </w:r>
    </w:p>
    <w:p>
      <w:pPr>
        <w:pStyle w:val="40"/>
        <w:spacing w:line="360" w:lineRule="exact"/>
        <w:ind w:firstLine="319" w:firstLineChars="133"/>
        <w:rPr>
          <w:sz w:val="24"/>
        </w:rPr>
      </w:pPr>
      <w:r>
        <w:rPr>
          <w:sz w:val="24"/>
        </w:rPr>
        <w:t>（一）未经甲方书面同意，乙方不得私自转租，私自转租的，甲方有权单方解除本合同。乙方向甲方提出转租时，乙方应当将转租情况事先以书面方式告知甲方。</w:t>
      </w:r>
    </w:p>
    <w:p>
      <w:pPr>
        <w:pStyle w:val="40"/>
        <w:spacing w:line="360" w:lineRule="exact"/>
        <w:ind w:firstLine="319" w:firstLineChars="133"/>
        <w:rPr>
          <w:sz w:val="24"/>
        </w:rPr>
      </w:pPr>
      <w:r>
        <w:rPr>
          <w:sz w:val="24"/>
        </w:rPr>
        <w:t>（二）若乙方把租赁土地整体或部分转租给第三方的，不得一次性收取第三方三个月或三个月以上的租金，且租赁期限不得超过本合同有效期，否则作乙方违约处理，由此引起的各方面责任和后果由乙方承担。本合同变更、解除、终止的，转租合同随之变更、解除、终止。</w:t>
      </w:r>
    </w:p>
    <w:p>
      <w:pPr>
        <w:pStyle w:val="40"/>
        <w:spacing w:line="360" w:lineRule="exact"/>
        <w:ind w:firstLine="319" w:firstLineChars="133"/>
        <w:rPr>
          <w:b/>
          <w:sz w:val="24"/>
        </w:rPr>
      </w:pPr>
      <w:r>
        <w:rPr>
          <w:sz w:val="24"/>
        </w:rPr>
        <w:t>（三）若乙方转租租赁土地，乙方保证次承租人需承担本合同乙方的合同义务。次承租人违反本合同承租方的义务视为乙方违约，乙方应承担相应的违约责任。</w:t>
      </w:r>
    </w:p>
    <w:p>
      <w:pPr>
        <w:pStyle w:val="41"/>
        <w:spacing w:line="360" w:lineRule="exact"/>
        <w:ind w:firstLine="482" w:firstLineChars="200"/>
        <w:rPr>
          <w:rFonts w:eastAsia="宋体"/>
          <w:b/>
          <w:sz w:val="24"/>
        </w:rPr>
      </w:pPr>
    </w:p>
    <w:p>
      <w:pPr>
        <w:pStyle w:val="41"/>
        <w:spacing w:line="360" w:lineRule="exact"/>
        <w:ind w:firstLine="482" w:firstLineChars="200"/>
        <w:rPr>
          <w:rFonts w:eastAsia="宋体"/>
          <w:b/>
          <w:sz w:val="24"/>
        </w:rPr>
      </w:pPr>
      <w:r>
        <w:rPr>
          <w:rFonts w:eastAsia="宋体"/>
          <w:b/>
          <w:sz w:val="24"/>
        </w:rPr>
        <w:t xml:space="preserve">第七条 甲、乙双方的权利义务 </w:t>
      </w:r>
    </w:p>
    <w:p>
      <w:pPr>
        <w:spacing w:line="360" w:lineRule="exact"/>
        <w:ind w:firstLine="319" w:firstLineChars="133"/>
        <w:rPr>
          <w:rFonts w:ascii="Times New Roman" w:hAnsi="Times New Roman" w:cs="Times New Roman"/>
          <w:sz w:val="24"/>
          <w:szCs w:val="24"/>
        </w:rPr>
      </w:pPr>
      <w:r>
        <w:rPr>
          <w:rFonts w:ascii="Times New Roman" w:hAnsi="Times New Roman" w:cs="Times New Roman"/>
          <w:sz w:val="24"/>
          <w:szCs w:val="24"/>
        </w:rPr>
        <w:t>（一）甲方的权利和义务：</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1、甲方按现状提供租赁土地给乙方。</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2、甲方按合同约定收取乙方的租金。</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3、甲方有权对乙方使用租赁土地的情况进行监督。甲方有权随时可对租赁土地进行安全检查，有权制止乙方利用租赁土地进行违法犯罪活动，有权制止乙方实施的严重损害租赁土地和其它资产的行为。</w:t>
      </w:r>
    </w:p>
    <w:p>
      <w:pPr>
        <w:pStyle w:val="40"/>
        <w:spacing w:line="360" w:lineRule="exact"/>
        <w:ind w:firstLine="319" w:firstLineChars="133"/>
        <w:rPr>
          <w:sz w:val="24"/>
        </w:rPr>
      </w:pPr>
      <w:r>
        <w:rPr>
          <w:sz w:val="24"/>
        </w:rPr>
        <w:t>（二）乙方的权利和义务：</w:t>
      </w:r>
    </w:p>
    <w:p>
      <w:pPr>
        <w:spacing w:line="360" w:lineRule="exact"/>
        <w:ind w:firstLine="480" w:firstLineChars="200"/>
        <w:rPr>
          <w:rFonts w:ascii="Times New Roman" w:hAnsi="Times New Roman" w:cs="Times New Roman"/>
          <w:sz w:val="24"/>
        </w:rPr>
      </w:pPr>
      <w:r>
        <w:rPr>
          <w:rFonts w:ascii="Times New Roman" w:hAnsi="Times New Roman" w:cs="Times New Roman"/>
          <w:sz w:val="24"/>
          <w:szCs w:val="24"/>
        </w:rPr>
        <w:t>1、乙方应依法依约使用租赁土地，且按照有关法律规定办理租赁土地使用权登记手续及其他相关行政许可手续，并将相关证照的复印件提交甲方备案。未经甲方书面同意，且无办理有关合法手续，乙方自行搭建其它地上附着物，视为乙方违约，地上附着物视为违法建筑，在发生征地拆迁时一律不给予补偿。</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如乙方需在租赁土地开展公益性科普、生态农业宣传展示等相关公益活动，需提前将活动方案报甲方备案。</w:t>
      </w:r>
    </w:p>
    <w:p>
      <w:pPr>
        <w:spacing w:line="360" w:lineRule="exact"/>
        <w:ind w:firstLine="480" w:firstLineChars="200"/>
        <w:rPr>
          <w:rFonts w:ascii="Times New Roman" w:hAnsi="Times New Roman" w:cs="Times New Roman"/>
          <w:sz w:val="24"/>
          <w:szCs w:val="24"/>
        </w:rPr>
      </w:pPr>
      <w:r>
        <w:rPr>
          <w:rFonts w:hint="eastAsia"/>
          <w:sz w:val="24"/>
          <w:lang w:val="en-US"/>
        </w:rPr>
        <w:t>2、</w:t>
      </w:r>
      <w:r>
        <w:rPr>
          <w:rFonts w:hint="eastAsia"/>
          <w:sz w:val="24"/>
        </w:rPr>
        <w:t>乙方须自行办理运营所需的工商、税务、水电、消防验收等行政许可、行政审批、申报等手续，并承担办理前述手续所产生的全部费用，甲方</w:t>
      </w:r>
      <w:r>
        <w:rPr>
          <w:rFonts w:ascii="Times New Roman" w:hAnsi="Times New Roman" w:cs="Times New Roman"/>
          <w:color w:val="000000"/>
          <w:sz w:val="24"/>
          <w:szCs w:val="24"/>
          <w:lang w:val="en-US"/>
        </w:rPr>
        <w:t>在合理</w:t>
      </w:r>
      <w:r>
        <w:rPr>
          <w:rFonts w:hint="eastAsia" w:ascii="Times New Roman" w:hAnsi="Times New Roman" w:cs="Times New Roman"/>
          <w:color w:val="000000"/>
          <w:sz w:val="24"/>
          <w:szCs w:val="24"/>
          <w:lang w:val="en-US"/>
        </w:rPr>
        <w:t>且</w:t>
      </w:r>
      <w:r>
        <w:rPr>
          <w:rFonts w:ascii="Times New Roman" w:hAnsi="Times New Roman" w:cs="Times New Roman"/>
          <w:color w:val="000000"/>
          <w:sz w:val="24"/>
          <w:szCs w:val="24"/>
          <w:lang w:val="en-US"/>
        </w:rPr>
        <w:t>必要的范围内提供协助</w:t>
      </w:r>
      <w:r>
        <w:rPr>
          <w:rFonts w:hint="eastAsia"/>
          <w:sz w:val="24"/>
        </w:rPr>
        <w:t>；若乙方未按有关规定办理相关手续的，所产生的一切后果、责任和损失均由乙方承担，若因此导致甲方损失的，乙方应赔偿甲方的全部损失。</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rPr>
        <w:t>3</w:t>
      </w:r>
      <w:r>
        <w:rPr>
          <w:rFonts w:ascii="Times New Roman" w:hAnsi="Times New Roman" w:cs="Times New Roman"/>
          <w:sz w:val="24"/>
          <w:szCs w:val="24"/>
        </w:rPr>
        <w:t>、乙方须按甲方要求办理租赁土地交付手续，乙方应按本合同约定按时、足额支付履约保证金、租金及其它应付税费、款项。</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rPr>
        <w:t>4</w:t>
      </w:r>
      <w:r>
        <w:rPr>
          <w:rFonts w:ascii="Times New Roman" w:hAnsi="Times New Roman" w:cs="Times New Roman"/>
          <w:sz w:val="24"/>
          <w:szCs w:val="24"/>
        </w:rPr>
        <w:t>、乙方保证其在租赁土地内的一切活动符合法律、法规的规定，违法或犯罪被有关部门追究或被债权人追究的，一切责任由乙方自负，与甲方无关。</w:t>
      </w:r>
    </w:p>
    <w:p>
      <w:pPr>
        <w:spacing w:line="360" w:lineRule="exact"/>
        <w:ind w:firstLine="480" w:firstLineChars="200"/>
        <w:rPr>
          <w:rFonts w:ascii="Times New Roman" w:hAnsi="Times New Roman" w:cs="Times New Roman"/>
          <w:sz w:val="24"/>
        </w:rPr>
      </w:pPr>
      <w:r>
        <w:rPr>
          <w:rFonts w:hint="eastAsia" w:ascii="Times New Roman" w:hAnsi="Times New Roman" w:cs="Times New Roman"/>
          <w:sz w:val="24"/>
          <w:szCs w:val="24"/>
          <w:lang w:val="en-US"/>
        </w:rPr>
        <w:t>5</w:t>
      </w:r>
      <w:r>
        <w:rPr>
          <w:rFonts w:ascii="Times New Roman" w:hAnsi="Times New Roman" w:cs="Times New Roman"/>
          <w:sz w:val="24"/>
          <w:szCs w:val="24"/>
        </w:rPr>
        <w:t>、乙方不得在租赁土地内居住，乙方须做好租赁土地的治安、消防、安全生产、环保等工作，按有关规定配备合格的消防、排污设备设施。乙方需无条件接受甲方在安全经营、防火、环保等方面的管理、检查和监督。租赁期内，租赁土地发生的一切经济责任和法律责任由乙方负责，租赁土地发生的人身或财产损失均由乙方承担。若乙方为公司企业，乙方及乙方的法定代表人为安全生产、防火直接责任人，直接承担乙方的安全生产、防火等责任。</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rPr>
        <w:t>6</w:t>
      </w:r>
      <w:r>
        <w:rPr>
          <w:rFonts w:ascii="Times New Roman" w:hAnsi="Times New Roman" w:cs="Times New Roman"/>
          <w:sz w:val="24"/>
          <w:szCs w:val="24"/>
        </w:rPr>
        <w:t>、乙方在使用租赁土地期间发生的各种费用、债务、纠纷（包括但不限于工商、税务、租赁土地的日常维修保养费、工人工资、工伤、劳保、福利、财产损失、人身损害）由乙方承担；租赁土地使用期间产生的经济责任、法律责任及有关事故等责任由乙方承担。乙方使用租赁土地期间，乙方自主经营，自负盈亏。</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rPr>
        <w:t>7</w:t>
      </w:r>
      <w:r>
        <w:rPr>
          <w:rFonts w:ascii="Times New Roman" w:hAnsi="Times New Roman" w:cs="Times New Roman"/>
          <w:sz w:val="24"/>
          <w:szCs w:val="24"/>
        </w:rPr>
        <w:t>、乙方应履行所签订《容桂街道公有物业消防、生产安全及环保管理责任书》的约定。</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rPr>
        <w:t>8</w:t>
      </w:r>
      <w:r>
        <w:rPr>
          <w:rFonts w:ascii="Times New Roman" w:hAnsi="Times New Roman" w:cs="Times New Roman"/>
          <w:sz w:val="24"/>
          <w:szCs w:val="24"/>
        </w:rPr>
        <w:t>、因公共设施建设，如水、电、气管、线路等施工造成乙方损失时,由乙方自行与建设单位协商赔偿，与甲方无关。</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rPr>
        <w:t>9</w:t>
      </w:r>
      <w:r>
        <w:rPr>
          <w:rFonts w:ascii="Times New Roman" w:hAnsi="Times New Roman" w:cs="Times New Roman"/>
          <w:sz w:val="24"/>
          <w:szCs w:val="24"/>
        </w:rPr>
        <w:t>、乙方应每年购买商业保险，保障租赁土地内的财产安全和人员人身安全。在合同履行期间，租赁土地发生的任何安全事故、人身损害赔偿、财产损失损害等责任，若因乙方原因造成的，由乙方承担。</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rPr>
        <w:t>10</w:t>
      </w:r>
      <w:r>
        <w:rPr>
          <w:rFonts w:ascii="Times New Roman" w:hAnsi="Times New Roman" w:cs="Times New Roman"/>
          <w:sz w:val="24"/>
          <w:szCs w:val="24"/>
        </w:rPr>
        <w:t>、乙方不得在租赁土地内存放危险物品（包括但不限于易燃、易爆、有毒、具腐蚀及国家规定的一切违禁品），并严格执行有关安全生产的法律法规，落实各项安全措施。</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rPr>
        <w:t>11</w:t>
      </w:r>
      <w:r>
        <w:rPr>
          <w:rFonts w:ascii="Times New Roman" w:hAnsi="Times New Roman" w:cs="Times New Roman"/>
          <w:sz w:val="24"/>
          <w:szCs w:val="24"/>
        </w:rPr>
        <w:t>、未经甲方书面同意，乙方不得擅自改动租赁土地的供水、供电设施。凡涉及有关租赁土地内的机电改动和增设设备，如消防、水电供应等工程，乙方事先应书面向甲方申请，征得甲方书面同意后方可施工。乙方进行电器安装须聘请电力主管部门认可的安装队伍进行施工，所需费用由乙方自行承担。乙方违法或违约施工安装，甲方有权要求乙方修复至原状。如属乙方人为破坏或使用不当，导致损坏租赁土地的电力设备，由乙方负责一切赔偿。</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lang w:val="en-US"/>
        </w:rPr>
        <w:t>1</w:t>
      </w:r>
      <w:r>
        <w:rPr>
          <w:rFonts w:hint="eastAsia" w:ascii="Times New Roman" w:hAnsi="Times New Roman" w:cs="Times New Roman"/>
          <w:sz w:val="24"/>
          <w:szCs w:val="24"/>
          <w:lang w:val="en-US"/>
        </w:rPr>
        <w:t>2</w:t>
      </w:r>
      <w:r>
        <w:rPr>
          <w:rFonts w:ascii="Times New Roman" w:hAnsi="Times New Roman" w:cs="Times New Roman"/>
          <w:sz w:val="24"/>
          <w:szCs w:val="24"/>
        </w:rPr>
        <w:t>、若租赁土地上存在被非法占用现象的，甲方按现状移交租赁土地给乙方，收地工作以及因此产生的费用均由乙方负责与承担（包括但不限于处理纠纷的工作、处理纠纷的费用）。在租赁期间，如遇租赁土地周围的村民投诉等纠纷的，由乙方自行解决，与甲方无关，若因此导致甲方损失的，乙方应赔偿甲方的全部损失。</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rPr>
        <w:t>3</w:t>
      </w:r>
      <w:r>
        <w:rPr>
          <w:rFonts w:ascii="Times New Roman" w:hAnsi="Times New Roman" w:cs="Times New Roman"/>
          <w:sz w:val="24"/>
          <w:szCs w:val="24"/>
        </w:rPr>
        <w:t>、乙方在使用租赁土地期间产生的垃圾由乙方自行处理，乙方不得向河道、河涌排放污染物。乙方使用租赁土地时需符合地方政府对环境卫生的要求，乙方保证使用租赁土地时不影响邻居的工作生活。若遇有关单位或个人投诉租赁土地存在环境污染（包括但不限于噪音、气体、污水、光污染）或消防、安全等问题的，一切后果由乙方负责，与甲方无关。有关部门责令整改的，乙方必须限期整改。</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rPr>
        <w:t>4</w:t>
      </w:r>
      <w:r>
        <w:rPr>
          <w:rFonts w:ascii="Times New Roman" w:hAnsi="Times New Roman" w:cs="Times New Roman"/>
          <w:sz w:val="24"/>
          <w:szCs w:val="24"/>
        </w:rPr>
        <w:t>、在不改变租赁土地的性质和用途的前提下，乙方有权按自身使用需要自付费用对租赁土地进行平整规划，租赁土地的水、电等设备设施的铺建均由乙方自行承担。</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rPr>
        <w:t>5</w:t>
      </w:r>
      <w:r>
        <w:rPr>
          <w:rFonts w:ascii="Times New Roman" w:hAnsi="Times New Roman" w:cs="Times New Roman"/>
          <w:sz w:val="24"/>
          <w:szCs w:val="24"/>
        </w:rPr>
        <w:t>、未经甲方或有关部门同意，乙方不能在租赁土地兴建固定建筑物、附着物。乙方不得在租赁范围内堆、填危险品、污染物或违禁品。</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乙方在使用租赁土地期间，如发生违法用地、违法建设行为，甲方有权通报有关部门处理，经有关部门认定为非法建筑（或“违法建筑”“违章建筑”等，下同）的，乙方须自行按要求拆除，并配合有关部门进行查处，相关的责任和损失由乙方自行承担。</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rPr>
        <w:t>6</w:t>
      </w:r>
      <w:r>
        <w:rPr>
          <w:rFonts w:ascii="Times New Roman" w:hAnsi="Times New Roman" w:cs="Times New Roman"/>
          <w:sz w:val="24"/>
          <w:szCs w:val="24"/>
        </w:rPr>
        <w:t>、租赁期内，涉及租赁土地所产生的一切人身、财产损害由乙方承担赔偿责任。在使用租赁土地的过程中，因乙方及其雇员、代理人、合伙人或任何相关人士之行为或疏忽，而造成任何第三方损失的，乙方需承担全部责任。</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rPr>
        <w:t>7</w:t>
      </w:r>
      <w:r>
        <w:rPr>
          <w:rFonts w:ascii="Times New Roman" w:hAnsi="Times New Roman" w:cs="Times New Roman"/>
          <w:sz w:val="24"/>
          <w:szCs w:val="24"/>
        </w:rPr>
        <w:t>、乙方必须按照有关劳动法律法规的规定用工，不得拖欠工人工资，拖欠工人工资累计达1个月的，甲方有权要求乙方尽快补发，超过2个月仍不改正的，视为乙方违约。</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rPr>
        <w:t>8</w:t>
      </w:r>
      <w:r>
        <w:rPr>
          <w:rFonts w:ascii="Times New Roman" w:hAnsi="Times New Roman" w:cs="Times New Roman"/>
          <w:sz w:val="24"/>
          <w:szCs w:val="24"/>
        </w:rPr>
        <w:t>、如甲方将本合同项下的土地、物业抵押融资时，乙方需无条件同意并协助甲方办理相关手续（包括但不限于签名、出具相关证明等）。</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rPr>
        <w:t>9</w:t>
      </w:r>
      <w:r>
        <w:rPr>
          <w:rFonts w:ascii="Times New Roman" w:hAnsi="Times New Roman" w:cs="Times New Roman"/>
          <w:sz w:val="24"/>
          <w:szCs w:val="24"/>
        </w:rPr>
        <w:t>、乙方在使用租赁土地期间发生的各种费用、债务、纠纷（包括但不限于工商、税务、租赁土地的日常维修保养费、工人工资、工伤、劳保、福利、财产损失、人身损害）由乙方承担；租赁土地使用期间产生的经济责任、法律责任及有关事故等责任由乙方承担。</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rPr>
        <w:t>20</w:t>
      </w:r>
      <w:r>
        <w:rPr>
          <w:rFonts w:ascii="Times New Roman" w:hAnsi="Times New Roman" w:cs="Times New Roman"/>
          <w:sz w:val="24"/>
          <w:szCs w:val="24"/>
        </w:rPr>
        <w:t>、租赁期满、乙方中途退场或合同依约解除，租赁土地上的植物、养殖的水产（若有）、设施设备由乙方清除处理，乙方恢复租赁土地原状，并按甲方要求按时办理退租租赁土地移交手续（包括但不限于移交确认书、结清所拖欠租金或费用、归还租赁土地）。</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lang w:val="en-US"/>
        </w:rPr>
        <w:t>2</w:t>
      </w:r>
      <w:r>
        <w:rPr>
          <w:rFonts w:hint="eastAsia" w:ascii="Times New Roman" w:hAnsi="Times New Roman" w:cs="Times New Roman"/>
          <w:sz w:val="24"/>
          <w:szCs w:val="24"/>
          <w:lang w:val="en-US"/>
        </w:rPr>
        <w:t>1</w:t>
      </w:r>
      <w:r>
        <w:rPr>
          <w:rFonts w:ascii="Times New Roman" w:hAnsi="Times New Roman" w:cs="Times New Roman"/>
          <w:sz w:val="24"/>
          <w:szCs w:val="24"/>
        </w:rPr>
        <w:t>、因租赁土地临近水利工程，乙方应按政府部门有关保护水利工程的要求使用租赁土地。若因乙方的行为影响水利工程的安全性，一切后果由乙方承担。</w:t>
      </w:r>
    </w:p>
    <w:p>
      <w:pPr>
        <w:spacing w:line="360" w:lineRule="exact"/>
        <w:ind w:firstLine="480" w:firstLineChars="200"/>
        <w:rPr>
          <w:rFonts w:ascii="Times New Roman" w:hAnsi="Times New Roman" w:cs="Times New Roman"/>
          <w:sz w:val="24"/>
          <w:szCs w:val="24"/>
        </w:rPr>
      </w:pPr>
      <w:r>
        <w:rPr>
          <w:rFonts w:ascii="Times New Roman" w:hAnsi="Times New Roman" w:cs="Times New Roman"/>
          <w:color w:val="000000"/>
          <w:sz w:val="24"/>
          <w:szCs w:val="24"/>
          <w:lang w:val="en-US"/>
        </w:rPr>
        <w:t>2</w:t>
      </w:r>
      <w:r>
        <w:rPr>
          <w:rFonts w:hint="eastAsia" w:ascii="Times New Roman" w:hAnsi="Times New Roman" w:cs="Times New Roman"/>
          <w:color w:val="000000"/>
          <w:sz w:val="24"/>
          <w:szCs w:val="24"/>
          <w:lang w:val="en-US"/>
        </w:rPr>
        <w:t>2</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租赁期</w:t>
      </w:r>
      <w:r>
        <w:rPr>
          <w:rFonts w:ascii="Times New Roman" w:hAnsi="Times New Roman" w:cs="Times New Roman"/>
          <w:sz w:val="24"/>
          <w:szCs w:val="24"/>
        </w:rPr>
        <w:t>间，乙方须对租赁土地承担监管责任，乙方保证租赁土地范围内的环保（包括但不限于扬尘、水、土壤、大气、固体废弃物、环境噪音）须达到相关部门的要求。若甲方认为租赁土地范围内的环保不符合有关要求的，甲方有权采取以下任意一项或多项措施：①甲方以书面的形式通知乙方，要求乙方按有关要求在限期内进行整改；②甲方有权委托第三方进行整改以达到有关环保要求，甲方委托第三方所产生的全部费用均由乙方承担，乙方应在甲方向第三方支付费用之日起3日内向甲方支付完毕前述费用，否则，甲方有权依据本合同第八条的约定要求乙方承担违约责任。</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乙方必须按照甲方或相关职能部门的要求采取相应的环保措施（包括但不限于添置防尘降尘等相关设备、定时喷淋防止大气污染），以达到相关部门的环保要求（具体要求参考佛山市最新关于扬尘污染防治文件及相关环保法律、法规、规章、规范性文件）。</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乙方保证使用租赁土地时不影响邻居的工作和生活，若遇有关单位或个人投诉租赁土地存在环境污染（包括但不限于扬尘、水、土壤、大气、固体废弃物、环境噪音）或消防、安全等问题的，一切责任由乙方承担，与甲方无关，若因此导致甲方损失的，乙方应赔偿甲方的全部损失。有关部门责令整改的，乙方必须限期整改。</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rPr>
        <w:t>23、</w:t>
      </w:r>
      <w:r>
        <w:rPr>
          <w:rFonts w:ascii="Times New Roman" w:hAnsi="Times New Roman" w:cs="Times New Roman"/>
          <w:sz w:val="24"/>
          <w:szCs w:val="24"/>
        </w:rPr>
        <w:t>乙方应按甲方要求完成租赁土地周围范围的保安服务工作和保洁服务工作，相关的保安服务和保洁服务费用由乙方自行承担。</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lang w:val="en-US"/>
        </w:rPr>
        <w:t>2</w:t>
      </w:r>
      <w:r>
        <w:rPr>
          <w:rFonts w:hint="eastAsia" w:ascii="Times New Roman" w:hAnsi="Times New Roman" w:cs="Times New Roman"/>
          <w:sz w:val="24"/>
          <w:szCs w:val="24"/>
          <w:lang w:val="en-US"/>
        </w:rPr>
        <w:t>4</w:t>
      </w:r>
      <w:r>
        <w:rPr>
          <w:rFonts w:ascii="Times New Roman" w:hAnsi="Times New Roman" w:cs="Times New Roman"/>
          <w:sz w:val="24"/>
          <w:szCs w:val="24"/>
          <w:lang w:val="en-US"/>
        </w:rPr>
        <w:t>、</w:t>
      </w:r>
      <w:r>
        <w:rPr>
          <w:rFonts w:ascii="Times New Roman" w:hAnsi="Times New Roman" w:cs="Times New Roman"/>
          <w:sz w:val="24"/>
          <w:szCs w:val="24"/>
        </w:rPr>
        <w:t>为保证租赁土地安全，乙方须在租赁土地内安装安防设备（包括但不限于防盗报警、监控设备、交通安全指示牌、智能识别车道闸）。乙方应在本合同签订之日起</w:t>
      </w:r>
      <w:r>
        <w:rPr>
          <w:rFonts w:ascii="Times New Roman" w:hAnsi="Times New Roman" w:cs="Times New Roman"/>
          <w:sz w:val="24"/>
          <w:szCs w:val="24"/>
          <w:u w:val="single"/>
        </w:rPr>
        <w:t xml:space="preserve"> 30 </w:t>
      </w:r>
      <w:r>
        <w:rPr>
          <w:rFonts w:ascii="Times New Roman" w:hAnsi="Times New Roman" w:cs="Times New Roman"/>
          <w:sz w:val="24"/>
          <w:szCs w:val="24"/>
        </w:rPr>
        <w:t>日内将安防设备安装方案提交甲方审批，经甲方审批通过后方可进行施工安装。监控设备必须接入110联网报警系统。消防等设备应依法依规接受相关主管部门监督。</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lang w:val="en-US"/>
        </w:rPr>
        <w:t>5</w:t>
      </w:r>
      <w:r>
        <w:rPr>
          <w:rFonts w:ascii="Times New Roman" w:hAnsi="Times New Roman" w:cs="Times New Roman"/>
          <w:sz w:val="24"/>
          <w:szCs w:val="24"/>
        </w:rPr>
        <w:t>、乙方需自行完成租赁土地的清退、清理的工作，乙方实施前述工作前须自行依法依规办理完成前述工作</w:t>
      </w:r>
      <w:r>
        <w:rPr>
          <w:rFonts w:ascii="Times New Roman" w:hAnsi="Times New Roman" w:cs="Times New Roman"/>
          <w:color w:val="000000"/>
          <w:sz w:val="24"/>
          <w:szCs w:val="24"/>
        </w:rPr>
        <w:t>所</w:t>
      </w:r>
      <w:r>
        <w:rPr>
          <w:rFonts w:ascii="Times New Roman" w:hAnsi="Times New Roman" w:cs="Times New Roman"/>
          <w:sz w:val="24"/>
          <w:szCs w:val="24"/>
        </w:rPr>
        <w:t>须</w:t>
      </w:r>
      <w:r>
        <w:rPr>
          <w:rFonts w:ascii="Times New Roman" w:hAnsi="Times New Roman" w:cs="Times New Roman"/>
          <w:color w:val="000000"/>
          <w:sz w:val="24"/>
          <w:szCs w:val="24"/>
        </w:rPr>
        <w:t>办理</w:t>
      </w:r>
      <w:r>
        <w:rPr>
          <w:rFonts w:ascii="Times New Roman" w:hAnsi="Times New Roman" w:cs="Times New Roman"/>
          <w:sz w:val="24"/>
          <w:szCs w:val="24"/>
        </w:rPr>
        <w:t>的相关行政许可、行政审批等手续，且乙方完成前述工作及办理相关手续所产生的全部费用均由乙方承担。若租赁土地上存在被非法占用现象的，甲方按现状移交租赁土地给乙方，收地工作由乙方自行负责（包括但不限于处理纠纷的工作、处理纠纷的费用）。</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lang w:val="en-US"/>
        </w:rPr>
        <w:t>6</w:t>
      </w:r>
      <w:r>
        <w:rPr>
          <w:rFonts w:ascii="Times New Roman" w:hAnsi="Times New Roman" w:cs="Times New Roman"/>
          <w:sz w:val="24"/>
          <w:szCs w:val="24"/>
        </w:rPr>
        <w:t>、租赁土地内无自来水及无电力供应，由乙方自行解决用水用电需求，由此所产生的一切费用及责任由乙方承担。</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lang w:val="en-US"/>
        </w:rPr>
        <w:t>7</w:t>
      </w:r>
      <w:r>
        <w:rPr>
          <w:rFonts w:ascii="Times New Roman" w:hAnsi="Times New Roman" w:cs="Times New Roman"/>
          <w:sz w:val="24"/>
          <w:szCs w:val="24"/>
        </w:rPr>
        <w:t>、乙方应保持租赁土地的环境卫生整洁，并在租赁土地范围内设置垃圾桶，安排人员定时对租赁土地进行保洁。乙方应定期对租赁土地范围内的下水道、排水沟进行疏堵清淤，不得向江河、河道进行偷排废水、废油渣等。</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一条款的约定要求乙方承担违约责任。</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lang w:val="en-US"/>
        </w:rPr>
        <w:t>8</w:t>
      </w:r>
      <w:r>
        <w:rPr>
          <w:rFonts w:ascii="Times New Roman" w:hAnsi="Times New Roman" w:cs="Times New Roman"/>
          <w:sz w:val="24"/>
          <w:szCs w:val="24"/>
        </w:rPr>
        <w:t>、除本合同约定的租赁土地范围外，乙方不得占用界线外土地，否则由此产生的一切责任均由乙方承担。</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lang w:val="en-US"/>
        </w:rPr>
        <w:t>9</w:t>
      </w:r>
      <w:r>
        <w:rPr>
          <w:rFonts w:ascii="Times New Roman" w:hAnsi="Times New Roman" w:cs="Times New Roman"/>
          <w:sz w:val="24"/>
          <w:szCs w:val="24"/>
        </w:rPr>
        <w:t>、乙方租赁土地内进行种植时使用的农业有机肥料需满足基本农田保护条例相关规定，不得破坏水资源及环境等，否则，由此引起的有关责任及安全问题一切由乙方负责。</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rPr>
        <w:t>30</w:t>
      </w:r>
      <w:r>
        <w:rPr>
          <w:rFonts w:ascii="Times New Roman" w:hAnsi="Times New Roman" w:cs="Times New Roman"/>
          <w:sz w:val="24"/>
          <w:szCs w:val="24"/>
          <w:lang w:val="en-US"/>
        </w:rPr>
        <w:t>、乙方</w:t>
      </w:r>
      <w:r>
        <w:rPr>
          <w:rFonts w:ascii="Times New Roman" w:hAnsi="Times New Roman" w:cs="Times New Roman"/>
          <w:sz w:val="24"/>
          <w:szCs w:val="24"/>
        </w:rPr>
        <w:t>如需在租赁土地内进行土建工程的，应事先取得</w:t>
      </w:r>
      <w:r>
        <w:rPr>
          <w:rFonts w:ascii="Times New Roman" w:hAnsi="Times New Roman" w:cs="Times New Roman"/>
          <w:sz w:val="24"/>
          <w:szCs w:val="24"/>
          <w:lang w:val="en-US"/>
        </w:rPr>
        <w:t>甲方</w:t>
      </w:r>
      <w:r>
        <w:rPr>
          <w:rFonts w:ascii="Times New Roman" w:hAnsi="Times New Roman" w:cs="Times New Roman"/>
          <w:sz w:val="24"/>
          <w:szCs w:val="24"/>
        </w:rPr>
        <w:t>同意，并委托具备资质的第三方出具预算价报告，预算价报告经</w:t>
      </w:r>
      <w:r>
        <w:rPr>
          <w:rFonts w:ascii="Times New Roman" w:hAnsi="Times New Roman" w:cs="Times New Roman"/>
          <w:sz w:val="24"/>
          <w:szCs w:val="24"/>
          <w:lang w:val="en-US"/>
        </w:rPr>
        <w:t>甲方</w:t>
      </w:r>
      <w:r>
        <w:rPr>
          <w:rFonts w:ascii="Times New Roman" w:hAnsi="Times New Roman" w:cs="Times New Roman"/>
          <w:sz w:val="24"/>
          <w:szCs w:val="24"/>
        </w:rPr>
        <w:t>同意后方可实施。</w:t>
      </w:r>
      <w:r>
        <w:rPr>
          <w:rFonts w:ascii="Times New Roman" w:hAnsi="Times New Roman" w:cs="Times New Roman"/>
          <w:sz w:val="24"/>
          <w:szCs w:val="24"/>
          <w:lang w:val="en-US"/>
        </w:rPr>
        <w:t>乙方</w:t>
      </w:r>
      <w:r>
        <w:rPr>
          <w:rFonts w:ascii="Times New Roman" w:hAnsi="Times New Roman" w:cs="Times New Roman"/>
          <w:sz w:val="24"/>
          <w:szCs w:val="24"/>
        </w:rPr>
        <w:t>应委托具备资质的第三方进行施工，土建工程完成并经</w:t>
      </w:r>
      <w:r>
        <w:rPr>
          <w:rFonts w:ascii="Times New Roman" w:hAnsi="Times New Roman" w:cs="Times New Roman"/>
          <w:sz w:val="24"/>
          <w:szCs w:val="24"/>
          <w:lang w:val="en-US"/>
        </w:rPr>
        <w:t>甲方</w:t>
      </w:r>
      <w:r>
        <w:rPr>
          <w:rFonts w:ascii="Times New Roman" w:hAnsi="Times New Roman" w:cs="Times New Roman"/>
          <w:sz w:val="24"/>
          <w:szCs w:val="24"/>
        </w:rPr>
        <w:t>同意的具备资质的第三方验收合格后，</w:t>
      </w:r>
      <w:r>
        <w:rPr>
          <w:rFonts w:ascii="Times New Roman" w:hAnsi="Times New Roman" w:cs="Times New Roman"/>
          <w:sz w:val="24"/>
          <w:szCs w:val="24"/>
          <w:lang w:val="en-US"/>
        </w:rPr>
        <w:t>乙方</w:t>
      </w:r>
      <w:r>
        <w:rPr>
          <w:rFonts w:ascii="Times New Roman" w:hAnsi="Times New Roman" w:cs="Times New Roman"/>
          <w:sz w:val="24"/>
          <w:szCs w:val="24"/>
        </w:rPr>
        <w:t>应委托具备资质的且经</w:t>
      </w:r>
      <w:r>
        <w:rPr>
          <w:rFonts w:ascii="Times New Roman" w:hAnsi="Times New Roman" w:cs="Times New Roman"/>
          <w:sz w:val="24"/>
          <w:szCs w:val="24"/>
          <w:lang w:val="en-US"/>
        </w:rPr>
        <w:t>甲方</w:t>
      </w:r>
      <w:r>
        <w:rPr>
          <w:rFonts w:ascii="Times New Roman" w:hAnsi="Times New Roman" w:cs="Times New Roman"/>
          <w:sz w:val="24"/>
          <w:szCs w:val="24"/>
        </w:rPr>
        <w:t>同意的第三方出具结算报告，</w:t>
      </w:r>
      <w:r>
        <w:rPr>
          <w:rFonts w:ascii="Times New Roman" w:hAnsi="Times New Roman" w:cs="Times New Roman"/>
          <w:sz w:val="24"/>
          <w:szCs w:val="24"/>
          <w:lang w:val="en-US"/>
        </w:rPr>
        <w:t>乙方</w:t>
      </w:r>
      <w:r>
        <w:rPr>
          <w:rFonts w:ascii="Times New Roman" w:hAnsi="Times New Roman" w:cs="Times New Roman"/>
          <w:sz w:val="24"/>
          <w:szCs w:val="24"/>
        </w:rPr>
        <w:t>应将相关的结算报告提交给甲方备案。</w:t>
      </w:r>
      <w:r>
        <w:rPr>
          <w:rFonts w:ascii="Times New Roman" w:hAnsi="Times New Roman" w:cs="Times New Roman"/>
          <w:sz w:val="24"/>
          <w:szCs w:val="24"/>
          <w:lang w:val="en-US"/>
        </w:rPr>
        <w:t>以上</w:t>
      </w:r>
      <w:r>
        <w:rPr>
          <w:rFonts w:ascii="Times New Roman" w:hAnsi="Times New Roman" w:cs="Times New Roman"/>
          <w:sz w:val="24"/>
          <w:szCs w:val="24"/>
        </w:rPr>
        <w:t>委托</w:t>
      </w:r>
      <w:r>
        <w:rPr>
          <w:rFonts w:ascii="Times New Roman" w:hAnsi="Times New Roman" w:cs="Times New Roman"/>
          <w:sz w:val="24"/>
          <w:szCs w:val="24"/>
          <w:lang w:val="en-US"/>
        </w:rPr>
        <w:t>的</w:t>
      </w:r>
      <w:r>
        <w:rPr>
          <w:rFonts w:ascii="Times New Roman" w:hAnsi="Times New Roman" w:cs="Times New Roman"/>
          <w:sz w:val="24"/>
          <w:szCs w:val="24"/>
        </w:rPr>
        <w:t>第三方所产生的一切费用均由</w:t>
      </w:r>
      <w:r>
        <w:rPr>
          <w:rFonts w:ascii="Times New Roman" w:hAnsi="Times New Roman" w:cs="Times New Roman"/>
          <w:sz w:val="24"/>
          <w:szCs w:val="24"/>
          <w:lang w:val="en-US"/>
        </w:rPr>
        <w:t>乙方</w:t>
      </w:r>
      <w:r>
        <w:rPr>
          <w:rFonts w:ascii="Times New Roman" w:hAnsi="Times New Roman" w:cs="Times New Roman"/>
          <w:sz w:val="24"/>
          <w:szCs w:val="24"/>
        </w:rPr>
        <w:t>承担。</w:t>
      </w:r>
    </w:p>
    <w:p>
      <w:pPr>
        <w:spacing w:line="360" w:lineRule="exact"/>
        <w:ind w:firstLine="480" w:firstLineChars="200"/>
        <w:rPr>
          <w:rFonts w:ascii="Times New Roman" w:hAnsi="Times New Roman" w:cs="Times New Roman"/>
          <w:sz w:val="24"/>
          <w:szCs w:val="24"/>
          <w:lang w:val="en-US"/>
        </w:rPr>
      </w:pPr>
      <w:r>
        <w:rPr>
          <w:rFonts w:ascii="Times New Roman" w:hAnsi="Times New Roman" w:cs="Times New Roman"/>
          <w:sz w:val="24"/>
          <w:szCs w:val="24"/>
          <w:lang w:val="en-US"/>
        </w:rPr>
        <w:t>31、</w:t>
      </w:r>
      <w:r>
        <w:rPr>
          <w:rFonts w:ascii="Times New Roman" w:hAnsi="Times New Roman" w:cs="Times New Roman"/>
          <w:sz w:val="24"/>
          <w:szCs w:val="24"/>
        </w:rPr>
        <w:t>乙方已清楚知悉租赁土地及其上盖建（构）筑物情况，</w:t>
      </w:r>
      <w:r>
        <w:rPr>
          <w:rFonts w:ascii="Times New Roman" w:hAnsi="Times New Roman" w:cs="Times New Roman"/>
          <w:sz w:val="24"/>
          <w:szCs w:val="24"/>
          <w:lang w:val="en-US"/>
        </w:rPr>
        <w:t>并清晰了解建（构）筑物使用要求。若因乙方装修或改造需要，导致</w:t>
      </w:r>
      <w:r>
        <w:rPr>
          <w:rFonts w:ascii="Times New Roman" w:hAnsi="Times New Roman" w:cs="Times New Roman"/>
          <w:sz w:val="24"/>
          <w:szCs w:val="24"/>
        </w:rPr>
        <w:t>建（构）筑物原有的使用功能发生改变时，</w:t>
      </w:r>
      <w:r>
        <w:rPr>
          <w:rFonts w:ascii="Times New Roman" w:hAnsi="Times New Roman" w:cs="Times New Roman"/>
          <w:sz w:val="24"/>
          <w:szCs w:val="24"/>
          <w:lang w:val="en-US"/>
        </w:rPr>
        <w:t>乙方</w:t>
      </w:r>
      <w:r>
        <w:rPr>
          <w:rFonts w:ascii="Times New Roman" w:hAnsi="Times New Roman" w:cs="Times New Roman"/>
          <w:sz w:val="24"/>
          <w:szCs w:val="24"/>
        </w:rPr>
        <w:t>须</w:t>
      </w:r>
      <w:r>
        <w:rPr>
          <w:rFonts w:ascii="Times New Roman" w:hAnsi="Times New Roman" w:cs="Times New Roman"/>
          <w:sz w:val="24"/>
          <w:szCs w:val="24"/>
          <w:lang w:val="en-US"/>
        </w:rPr>
        <w:t>于上述情况发生之日起30日内委托具备资质的第三方建筑安全检测机构对</w:t>
      </w:r>
      <w:r>
        <w:rPr>
          <w:rFonts w:ascii="Times New Roman" w:hAnsi="Times New Roman" w:cs="Times New Roman"/>
          <w:sz w:val="24"/>
          <w:szCs w:val="24"/>
        </w:rPr>
        <w:t>建（构）筑物进行检测并在其</w:t>
      </w:r>
      <w:r>
        <w:rPr>
          <w:rFonts w:ascii="Times New Roman" w:hAnsi="Times New Roman" w:cs="Times New Roman"/>
          <w:sz w:val="24"/>
          <w:szCs w:val="24"/>
          <w:lang w:val="en-US"/>
        </w:rPr>
        <w:t>出具</w:t>
      </w:r>
      <w:r>
        <w:rPr>
          <w:rFonts w:ascii="Times New Roman" w:hAnsi="Times New Roman" w:cs="Times New Roman"/>
          <w:sz w:val="24"/>
          <w:szCs w:val="24"/>
        </w:rPr>
        <w:t>建（构）筑物</w:t>
      </w:r>
      <w:r>
        <w:rPr>
          <w:rFonts w:ascii="Times New Roman" w:hAnsi="Times New Roman" w:cs="Times New Roman"/>
          <w:sz w:val="24"/>
          <w:szCs w:val="24"/>
          <w:lang w:val="en-US"/>
        </w:rPr>
        <w:t>符合安全使用要求的鉴定（或检测）报告后方可投入使用，所出具的鉴定（或检测）报告需向甲方备案。检测费用由乙方自行承担。</w:t>
      </w:r>
    </w:p>
    <w:p>
      <w:pPr>
        <w:spacing w:line="360" w:lineRule="exact"/>
        <w:ind w:firstLine="480" w:firstLineChars="200"/>
        <w:rPr>
          <w:rFonts w:ascii="Times New Roman" w:hAnsi="Times New Roman" w:cs="Times New Roman"/>
          <w:sz w:val="24"/>
          <w:szCs w:val="24"/>
          <w:lang w:val="en-US"/>
        </w:rPr>
      </w:pPr>
    </w:p>
    <w:p>
      <w:pPr>
        <w:spacing w:line="360" w:lineRule="exact"/>
        <w:ind w:firstLine="482" w:firstLineChars="200"/>
        <w:rPr>
          <w:rFonts w:ascii="Times New Roman" w:hAnsi="Times New Roman" w:cs="Times New Roman"/>
          <w:b/>
          <w:sz w:val="24"/>
        </w:rPr>
      </w:pPr>
      <w:r>
        <w:rPr>
          <w:rFonts w:ascii="Times New Roman" w:hAnsi="Times New Roman" w:cs="Times New Roman"/>
          <w:b/>
          <w:sz w:val="24"/>
        </w:rPr>
        <w:t>第八条 违约责任</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（一）在租赁期内，乙方逾期支付租金或有关费用，甲方将根据实际情况选择下列一种或多种措施向乙方主张违约责任：</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1、停水、停电或停业整顿；</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2、每逾期1日须向甲方支付所欠租金和费用总额5‰的违约金；</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3、要求乙方增加保证金（标准为增加履约保证金的一倍），若乙方的违约行为导致损失，甲方有权在增加的保证金中直接抵扣损失，抵扣后，乙方应按本合同的约定足额补缴履约保证金；</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4、甲方单方解除合同，收回租赁土地，没收保证金（包含履约保证金和增加的保证金），租赁土地投入、固定设施设备全部无偿归甲方所有。</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（二）乙方违反本合同任一条款，经甲方催告后，乙方在合理限期内（至多</w:t>
      </w:r>
      <w:r>
        <w:rPr>
          <w:rFonts w:ascii="Times New Roman" w:hAnsi="Times New Roman" w:cs="Times New Roman"/>
          <w:sz w:val="24"/>
          <w:szCs w:val="24"/>
          <w:lang w:val="en-US"/>
        </w:rPr>
        <w:t>30个自然日内</w:t>
      </w:r>
      <w:r>
        <w:rPr>
          <w:rFonts w:ascii="Times New Roman" w:hAnsi="Times New Roman" w:cs="Times New Roman"/>
          <w:sz w:val="24"/>
          <w:szCs w:val="24"/>
        </w:rPr>
        <w:t>）仍未整改的，甲方将根据实际情况选择下列一种或多种措施向乙方主张违约责任：</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1、停水、停电或停业整顿；</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2、要求乙方增加保证金（标准为增加履约保证金的一倍），若乙方的违约行为导致损失，甲方有权在增加的保证金中直接抵扣损失，抵扣后，乙方应按本合同的约定足额补缴履约保证金；</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3、对乙方的违法行为报相关行政主管部门处理，所产生的损失或处罚由乙方承担；</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4、对乙方的违约行为所造成的损失，要求乙方进行赔偿；</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、甲方单方解除合同，收回租赁土地，没收保证金（包含履约保证金和增加的保证金），租赁土地投入、装修、固定设施设备全部无偿归甲方所有（可移动设备除外）；</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、要求乙方承担一切财产损失和人身损害责任。</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三）乙方未经甲方书面同意提前解除本合同的，甲方有权没收全部履约保证金，且乙方应赔偿因提前解除合同给甲方造成的全部损失，且租赁物投入、装修、固定设施设备全部无偿归甲方所有（可移动设备除外）。</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（四）若乙方擅自变动、损坏、拆除水表或电表，乙方应按变动、损坏、拆除水表或电表前三个月水费或电费总和向甲方支付违约金并赔偿相应损失。</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五）租赁期届满，乙方逾期交还租赁土地的，每逾期一日应向甲方支付日租金1.5倍的逾期违约金，且乙方应承担因逾期归还给甲方造成的一切损失。如乙方退还的租赁土地有损毁，甲方有权拒收，乙方应还原该租赁土地，由此产生的一切费用由乙方承担，在此期间，仍视为乙方逾期退还租赁土地。如租赁土地在客观上不能还原，乙方应承担损害赔偿责任。</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（六）乙方未尽到善良管理人的义务，对租赁土地及其附属设施造成损害或安全隐患的，乙方应承担修缮义务并赔偿因此给甲方造成的损失。</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（七）若乙方为企业，乙方的法定代表人对乙方应承担的违约责任承担连带责任。</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八</w:t>
      </w:r>
      <w:r>
        <w:rPr>
          <w:rFonts w:ascii="Times New Roman" w:hAnsi="Times New Roman" w:cs="Times New Roman"/>
          <w:sz w:val="24"/>
          <w:szCs w:val="24"/>
        </w:rPr>
        <w:t>）乙方使用租赁土地期间，租赁土地范围内因乙方原因造成的人身损害或财产损失大于60万元，甲方将根据实际情况选择下列一种或多种措施向乙方主张违约责任：</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1、停业整改；</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2、要求乙方增加保证金（标准为增加履约保证金的一倍），若乙方的违约行为导致损失，甲方有权在增加的保证金中直接抵扣损失：</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3、对乙方的违法行为报相关行政主管部门处理，所产生的损失或处罚由乙方承担；</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4、甲方单方解除合同，收回租赁土地，没收保证金（包含履约保证金和增加的保证金），租赁土地投入、装修、固定设施设备全部无偿归甲方所有（可移动设备除外）；</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5、要求乙方承担一切财产损失和人身损害责任，若损失无法计算，甲方有权按照本合同租金总额的30%要求乙方支付违约金。</w:t>
      </w:r>
    </w:p>
    <w:p>
      <w:pPr>
        <w:pStyle w:val="41"/>
        <w:spacing w:line="360" w:lineRule="exact"/>
        <w:ind w:firstLine="480" w:firstLineChars="200"/>
        <w:rPr>
          <w:rFonts w:eastAsia="宋体"/>
          <w:sz w:val="24"/>
          <w:szCs w:val="24"/>
        </w:rPr>
      </w:pPr>
    </w:p>
    <w:p>
      <w:pPr>
        <w:pStyle w:val="41"/>
        <w:spacing w:line="360" w:lineRule="exact"/>
        <w:ind w:firstLine="482" w:firstLineChars="200"/>
        <w:rPr>
          <w:rFonts w:eastAsia="宋体"/>
          <w:b/>
          <w:sz w:val="24"/>
        </w:rPr>
      </w:pPr>
      <w:r>
        <w:rPr>
          <w:rFonts w:eastAsia="宋体"/>
          <w:b/>
          <w:sz w:val="24"/>
        </w:rPr>
        <w:t>第九条 合同终止</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（一）出现下列情形之一的，本合同终止：</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1、本合同约定的租赁期限届满。</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2、本合同有效期内，经甲乙双方协商一致，可提前解除本合同。</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3、租赁期限内，因拆迁、征用、城市规划改造、</w:t>
      </w:r>
      <w:r>
        <w:rPr>
          <w:rFonts w:ascii="Times New Roman" w:hAnsi="Times New Roman" w:cs="Times New Roman"/>
          <w:sz w:val="24"/>
          <w:szCs w:val="24"/>
          <w:lang w:val="en-US"/>
        </w:rPr>
        <w:t>政策原因或不可抗力（如地震、水灾、台风等自然灾害或战争等）、疫情防控要求及</w:t>
      </w:r>
      <w:r>
        <w:rPr>
          <w:rFonts w:ascii="Times New Roman" w:hAnsi="Times New Roman" w:cs="Times New Roman"/>
          <w:sz w:val="24"/>
          <w:szCs w:val="24"/>
        </w:rPr>
        <w:t>其他政府</w:t>
      </w:r>
      <w:r>
        <w:rPr>
          <w:rFonts w:ascii="Times New Roman" w:hAnsi="Times New Roman" w:cs="Times New Roman"/>
          <w:sz w:val="24"/>
          <w:szCs w:val="24"/>
          <w:lang w:val="en-US"/>
        </w:rPr>
        <w:t>决定</w:t>
      </w:r>
      <w:r>
        <w:rPr>
          <w:rFonts w:ascii="Times New Roman" w:hAnsi="Times New Roman" w:cs="Times New Roman"/>
          <w:sz w:val="24"/>
          <w:szCs w:val="24"/>
        </w:rPr>
        <w:t>（包括但不限于相关政府部门需要收回租赁土地的）等原因导致本合同无法继续履行的，甲方有权解除本合同，乙方应当按实向甲方支付租金，甲方已收实际使用期间的租金无需退还。乙方应于前述原因发生之日起60日内或政府要求的时间内交还租赁土地给甲方，双方互不负违约或赔偿责任。乙方的投入及其他损失，甲方不作任何赔偿或补偿，乙方不得向甲方主张任何违约金或损失赔偿款，只退回乙方的履约保证金（无息）。</w:t>
      </w:r>
      <w:r>
        <w:rPr>
          <w:rFonts w:ascii="Times New Roman" w:hAnsi="Times New Roman" w:cs="Times New Roman"/>
          <w:sz w:val="24"/>
          <w:szCs w:val="24"/>
          <w:lang w:val="en-US"/>
        </w:rPr>
        <w:t>若政府部门对乙方的投入、提前解除导致之经营损失、搬迁费用进行补偿或赔偿的，该补偿或赔偿归乙方所有；其他补偿（包括但不限于用地补偿等）归甲方所有。</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4、甲乙双方依本合同的约定或法律的规定解除本合同的。</w:t>
      </w:r>
    </w:p>
    <w:p>
      <w:pPr>
        <w:spacing w:line="360" w:lineRule="exact"/>
        <w:ind w:firstLine="480" w:firstLineChars="200"/>
        <w:rPr>
          <w:rFonts w:ascii="Times New Roman" w:hAnsi="Times New Roman" w:cs="Times New Roman"/>
          <w:strike/>
          <w:color w:val="000000"/>
          <w:sz w:val="24"/>
          <w:szCs w:val="24"/>
        </w:rPr>
      </w:pPr>
      <w:r>
        <w:rPr>
          <w:rFonts w:ascii="Times New Roman" w:hAnsi="Times New Roman" w:cs="Times New Roman"/>
          <w:sz w:val="24"/>
          <w:szCs w:val="24"/>
        </w:rPr>
        <w:t>（</w:t>
      </w:r>
      <w:r>
        <w:rPr>
          <w:rFonts w:ascii="Times New Roman" w:hAnsi="Times New Roman" w:cs="Times New Roman"/>
          <w:sz w:val="24"/>
          <w:szCs w:val="24"/>
          <w:lang w:val="en-US"/>
        </w:rPr>
        <w:t>二</w:t>
      </w:r>
      <w:r>
        <w:rPr>
          <w:rFonts w:ascii="Times New Roman" w:hAnsi="Times New Roman" w:cs="Times New Roman"/>
          <w:sz w:val="24"/>
          <w:szCs w:val="24"/>
        </w:rPr>
        <w:t>）乙方同意：在租赁期限内，甲方有权向乙方提出收回部分或全部租赁土地，乙方需无条件接受并在60日内依本合同约定交还租赁土地，</w:t>
      </w:r>
      <w:r>
        <w:rPr>
          <w:rFonts w:ascii="Times New Roman" w:hAnsi="Times New Roman" w:cs="Times New Roman"/>
          <w:color w:val="000000"/>
          <w:sz w:val="24"/>
          <w:szCs w:val="24"/>
        </w:rPr>
        <w:t>乙方可向甲方主张赔偿，赔偿范围为自甲方移交租赁土地之日起一年内乙方投入的土建工程费用按使用年限折算，具体金额以双方确认的具备资质的第三方出具的评估报告为准，最终赔偿金额</w:t>
      </w:r>
      <w:r>
        <w:rPr>
          <w:rFonts w:hint="eastAsia" w:ascii="Times New Roman" w:hAnsi="Times New Roman" w:cs="Times New Roman"/>
          <w:color w:val="000000"/>
          <w:sz w:val="24"/>
          <w:szCs w:val="24"/>
        </w:rPr>
        <w:t>以</w:t>
      </w:r>
      <w:r>
        <w:rPr>
          <w:rFonts w:ascii="Times New Roman" w:hAnsi="Times New Roman" w:cs="Times New Roman"/>
          <w:color w:val="000000"/>
          <w:sz w:val="24"/>
          <w:szCs w:val="24"/>
        </w:rPr>
        <w:t>双方确定为准。</w:t>
      </w:r>
      <w:r>
        <w:rPr>
          <w:rFonts w:hint="eastAsia" w:ascii="Times New Roman" w:hAnsi="Times New Roman" w:cs="Times New Roman"/>
          <w:color w:val="000000"/>
          <w:sz w:val="24"/>
          <w:szCs w:val="24"/>
        </w:rPr>
        <w:t>上述</w:t>
      </w:r>
      <w:r>
        <w:rPr>
          <w:rFonts w:ascii="Times New Roman" w:hAnsi="Times New Roman" w:cs="Times New Roman"/>
          <w:sz w:val="24"/>
          <w:szCs w:val="24"/>
        </w:rPr>
        <w:t>委托第三方所产生的一切费用均由</w:t>
      </w:r>
      <w:r>
        <w:rPr>
          <w:rFonts w:ascii="Times New Roman" w:hAnsi="Times New Roman" w:cs="Times New Roman"/>
          <w:sz w:val="24"/>
          <w:szCs w:val="24"/>
          <w:lang w:val="en-US"/>
        </w:rPr>
        <w:t>乙方</w:t>
      </w:r>
      <w:r>
        <w:rPr>
          <w:rFonts w:ascii="Times New Roman" w:hAnsi="Times New Roman" w:cs="Times New Roman"/>
          <w:sz w:val="24"/>
          <w:szCs w:val="24"/>
        </w:rPr>
        <w:t>承担。</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若甲方收回全部租赁土地的，本合同解除，甲乙双方的租赁关系终止，甲方无息退还乙方缴纳的履约保证金；若甲方收回部分租赁土地的，甲方收回后的租金按乙方实际使用的租赁土地的面积进行调整。</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三</w:t>
      </w:r>
      <w:r>
        <w:rPr>
          <w:rFonts w:ascii="Times New Roman" w:hAnsi="Times New Roman" w:cs="Times New Roman"/>
          <w:sz w:val="24"/>
          <w:szCs w:val="24"/>
        </w:rPr>
        <w:t>）甲乙双方的租赁关系终止，乙方应在合同终止之日结清租金及有关费用，乙方应在合同终止之日起30日内无条件按本合同的要求向甲方归还租赁土地，办妥有关租赁土地的工商登记、税务登记、水表、电表以及其他登记、行政许可的变更或注销手续，并按甲方要求按时办理退租租赁土地移交手续（包括但不限于签订移交确认书）。否则，甲方可视为乙方一直占用租赁土地，并要求乙方依照本合同租金标准的1.5倍向甲方支付逾期交还租赁土地的违约金，且还应承担由此给甲方造成的一切损失。若造成下一任使用者损失的，由乙方负责赔偿。甲方有权扣押、变卖、拍卖乙方的资产或设备作为支付违约金和经济赔偿。</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四</w:t>
      </w:r>
      <w:r>
        <w:rPr>
          <w:rFonts w:ascii="Times New Roman" w:hAnsi="Times New Roman" w:cs="Times New Roman"/>
          <w:sz w:val="24"/>
          <w:szCs w:val="24"/>
        </w:rPr>
        <w:t>）甲乙双方的租赁关系终止时，乙方在租赁期内的投入不得拆除或损坏，全部无偿归甲方所有（可移动物品由乙方根据甲方的要求搬走），甲方对乙方的投入不予任何赔偿、补偿。</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五</w:t>
      </w:r>
      <w:r>
        <w:rPr>
          <w:rFonts w:ascii="Times New Roman" w:hAnsi="Times New Roman" w:cs="Times New Roman"/>
          <w:sz w:val="24"/>
          <w:szCs w:val="24"/>
        </w:rPr>
        <w:t>）如乙方违约导致合同解除，已付租金及履约保证金不予退还，乙方对租赁土地的投入全部无偿归甲方所有，且甲方有权要求乙方依约承担违约责任。</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六</w:t>
      </w:r>
      <w:r>
        <w:rPr>
          <w:rFonts w:ascii="Times New Roman" w:hAnsi="Times New Roman" w:cs="Times New Roman"/>
          <w:sz w:val="24"/>
          <w:szCs w:val="24"/>
        </w:rPr>
        <w:t>）租赁期间，乙方因不可抗力因素无法履行本合同的，必须于前述原因发生之日起三个月内向甲方提出书面申请，经甲方书面同意后可终止合同。否则，甲方有权自主选择本合同第八条约定的其中一款或多款中的违约责任要求乙方承担违约责任，若乙方不同意按甲方的要求承担违约责任的，乙方须按本合同的约定继续履行本合同至合同期限届满。合同终止后，乙方应按本合同规定撤离租赁土地。</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七</w:t>
      </w:r>
      <w:r>
        <w:rPr>
          <w:rFonts w:ascii="Times New Roman" w:hAnsi="Times New Roman" w:cs="Times New Roman"/>
          <w:sz w:val="24"/>
          <w:szCs w:val="24"/>
        </w:rPr>
        <w:t>）若因第三方原因致使本合同无法继续履行的，甲方有权解除本合同，双方互不负违约责任，甲方应当无息退还履约保证金，乙方应当按实向甲方支付租金，甲方已收实际使用期间的租金无需退还。由此导致乙方的损失（包括但不限于乙方的投入损失）由乙方自行向第三方追偿，与甲方无关，甲方无需承担赔偿责任和违约责任，乙方不得向甲方主张任何违约金或损失赔偿款。</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八</w:t>
      </w:r>
      <w:r>
        <w:rPr>
          <w:rFonts w:ascii="Times New Roman" w:hAnsi="Times New Roman" w:cs="Times New Roman"/>
          <w:sz w:val="24"/>
          <w:szCs w:val="24"/>
        </w:rPr>
        <w:t>）合同期满后，若甲方继续出租该租赁土地的，按有关公有资产租赁承包经营管理办法相关要求执行。</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九</w:t>
      </w:r>
      <w:r>
        <w:rPr>
          <w:rFonts w:ascii="Times New Roman" w:hAnsi="Times New Roman" w:cs="Times New Roman"/>
          <w:sz w:val="24"/>
          <w:szCs w:val="24"/>
        </w:rPr>
        <w:t>）本合同终止，乙方须按甲方的要求（包括但不限于平整土地；清理租赁土地上的全部废气物料、垃圾杂物等）将租赁土地返还甲方。</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十</w:t>
      </w:r>
      <w:r>
        <w:rPr>
          <w:rFonts w:ascii="Times New Roman" w:hAnsi="Times New Roman" w:cs="Times New Roman"/>
          <w:sz w:val="24"/>
          <w:szCs w:val="24"/>
        </w:rPr>
        <w:t>）本租赁地块空地部分凡涉及属于规划变更或甲方需收回，乙方必须无条件配合甲方，乙方应按甲方要求向甲方移交租赁地块，乙方以实际使用的面积支付租金。租金进行调整：月租金=合同约定的当期每月每平方米的租金×实际使用建筑面积（以具有资质的测量机构确认的数据为准）。</w:t>
      </w:r>
    </w:p>
    <w:p>
      <w:pPr>
        <w:pStyle w:val="41"/>
        <w:spacing w:line="360" w:lineRule="exact"/>
        <w:ind w:firstLine="482" w:firstLineChars="200"/>
        <w:rPr>
          <w:rFonts w:eastAsia="宋体"/>
          <w:b/>
          <w:sz w:val="24"/>
        </w:rPr>
      </w:pPr>
    </w:p>
    <w:p>
      <w:pPr>
        <w:pStyle w:val="41"/>
        <w:spacing w:line="360" w:lineRule="exact"/>
        <w:ind w:firstLine="482" w:firstLineChars="200"/>
        <w:rPr>
          <w:rFonts w:eastAsia="宋体"/>
          <w:b/>
          <w:sz w:val="24"/>
        </w:rPr>
      </w:pPr>
      <w:r>
        <w:rPr>
          <w:rFonts w:eastAsia="宋体"/>
          <w:b/>
          <w:sz w:val="24"/>
        </w:rPr>
        <w:t>第十条 争议解决方法</w:t>
      </w:r>
    </w:p>
    <w:p>
      <w:pPr>
        <w:pStyle w:val="41"/>
        <w:spacing w:line="360" w:lineRule="exact"/>
        <w:ind w:firstLine="480" w:firstLineChars="200"/>
        <w:rPr>
          <w:rFonts w:eastAsia="宋体"/>
          <w:sz w:val="24"/>
        </w:rPr>
      </w:pPr>
      <w:r>
        <w:rPr>
          <w:rFonts w:eastAsia="宋体"/>
          <w:sz w:val="24"/>
        </w:rPr>
        <w:t>本合同在履行过程中发生的争议，甲、乙双方应协商解决，协商不成，任何一方均可将争议提交至甲方所在地人民法院以诉讼的方式解决。</w:t>
      </w:r>
    </w:p>
    <w:p>
      <w:pPr>
        <w:pStyle w:val="41"/>
        <w:spacing w:line="360" w:lineRule="exact"/>
        <w:ind w:firstLine="482" w:firstLineChars="200"/>
        <w:rPr>
          <w:rFonts w:eastAsia="宋体"/>
          <w:b/>
          <w:sz w:val="24"/>
        </w:rPr>
      </w:pPr>
    </w:p>
    <w:p>
      <w:pPr>
        <w:pStyle w:val="41"/>
        <w:spacing w:line="360" w:lineRule="exact"/>
        <w:ind w:firstLine="482" w:firstLineChars="200"/>
        <w:rPr>
          <w:rFonts w:eastAsia="宋体"/>
          <w:sz w:val="24"/>
        </w:rPr>
      </w:pPr>
      <w:r>
        <w:rPr>
          <w:rFonts w:eastAsia="宋体"/>
          <w:b/>
          <w:sz w:val="24"/>
        </w:rPr>
        <w:t>第十一条 其他事宜</w:t>
      </w:r>
    </w:p>
    <w:p>
      <w:pPr>
        <w:spacing w:line="360" w:lineRule="exact"/>
        <w:ind w:firstLine="319" w:firstLineChars="133"/>
        <w:rPr>
          <w:rFonts w:ascii="Times New Roman" w:hAnsi="Times New Roman" w:cs="Times New Roman"/>
          <w:sz w:val="24"/>
        </w:rPr>
      </w:pPr>
      <w:r>
        <w:rPr>
          <w:rFonts w:ascii="Times New Roman" w:hAnsi="Times New Roman" w:cs="Times New Roman"/>
          <w:sz w:val="24"/>
        </w:rPr>
        <w:t>（一）签订本合同时，若合同涉及的租赁土地状态为原租户</w:t>
      </w:r>
      <w:r>
        <w:rPr>
          <w:rFonts w:ascii="Times New Roman" w:hAnsi="Times New Roman" w:cs="Times New Roman"/>
          <w:sz w:val="24"/>
          <w:u w:val="single"/>
        </w:rPr>
        <w:t xml:space="preserve">  /  </w:t>
      </w:r>
      <w:r>
        <w:rPr>
          <w:rFonts w:ascii="Times New Roman" w:hAnsi="Times New Roman" w:cs="Times New Roman"/>
          <w:sz w:val="24"/>
        </w:rPr>
        <w:t>在其租赁合同到期后仍没有退回给甲方，而甲方已向原租户发出书面通知要求其退回租赁土地给甲方，若原租户</w:t>
      </w:r>
      <w:r>
        <w:rPr>
          <w:rFonts w:ascii="Times New Roman" w:hAnsi="Times New Roman" w:cs="Times New Roman"/>
          <w:sz w:val="24"/>
          <w:u w:val="single"/>
        </w:rPr>
        <w:t xml:space="preserve">  / </w:t>
      </w:r>
      <w:r>
        <w:rPr>
          <w:rFonts w:ascii="Times New Roman" w:hAnsi="Times New Roman" w:cs="Times New Roman"/>
          <w:sz w:val="24"/>
        </w:rPr>
        <w:t>违约不退回租赁土地给甲方，甲方将循合法途径处理以达到尽快将租赁土地交给乙方，这一期间，甲乙双方任何一方均不能向对方主张违约责任而要求赔偿或补偿。</w:t>
      </w:r>
    </w:p>
    <w:p>
      <w:pPr>
        <w:spacing w:line="360" w:lineRule="exact"/>
        <w:ind w:firstLine="319" w:firstLineChars="133"/>
        <w:rPr>
          <w:rFonts w:ascii="Times New Roman" w:hAnsi="Times New Roman" w:cs="Times New Roman"/>
          <w:sz w:val="24"/>
        </w:rPr>
      </w:pPr>
      <w:r>
        <w:rPr>
          <w:rFonts w:ascii="Times New Roman" w:hAnsi="Times New Roman" w:cs="Times New Roman"/>
          <w:sz w:val="24"/>
        </w:rPr>
        <w:t>（二）在租赁合同期满前三个月内，甲方有权按有关公有资产租赁承包经营管理办法的相关要求执行，将该租赁土地的使用权继续进行公开交易。如乙方在竞投中未能投得该租赁土地使用权，需在合同期满之日将有关的设备、物资搬离租赁土地，将租赁土地交还甲方验收，逾期归还租赁土地所造成的损失（包括但不限于甲方或下一任使用者损失），由乙方负责赔偿。</w:t>
      </w:r>
    </w:p>
    <w:p>
      <w:pPr>
        <w:spacing w:line="360" w:lineRule="exact"/>
        <w:ind w:right="26" w:rightChars="12" w:firstLine="319" w:firstLineChars="133"/>
        <w:rPr>
          <w:rFonts w:ascii="Times New Roman" w:hAnsi="Times New Roman" w:cs="Times New Roman"/>
          <w:sz w:val="24"/>
        </w:rPr>
      </w:pPr>
      <w:r>
        <w:rPr>
          <w:rFonts w:ascii="Times New Roman" w:hAnsi="Times New Roman" w:cs="Times New Roman"/>
          <w:sz w:val="24"/>
        </w:rPr>
        <w:t>（三）乙方同意放弃对租赁物的优先购买权。</w:t>
      </w:r>
    </w:p>
    <w:p>
      <w:pPr>
        <w:spacing w:line="360" w:lineRule="exact"/>
        <w:ind w:right="26" w:rightChars="12" w:firstLine="319" w:firstLineChars="133"/>
        <w:rPr>
          <w:rFonts w:ascii="Times New Roman" w:hAnsi="Times New Roman" w:cs="Times New Roman"/>
          <w:sz w:val="24"/>
        </w:rPr>
      </w:pPr>
      <w:r>
        <w:rPr>
          <w:rFonts w:ascii="Times New Roman" w:hAnsi="Times New Roman" w:cs="Times New Roman"/>
          <w:sz w:val="24"/>
        </w:rPr>
        <w:t>（四）若乙方为法人或其他经济组织的，应复印营业执照（加盖公章）、法定代表人身份证交甲方存档；若乙方为自然人的，应复印身份证交甲方存档。</w:t>
      </w:r>
    </w:p>
    <w:p>
      <w:pPr>
        <w:spacing w:line="360" w:lineRule="exact"/>
        <w:ind w:right="26" w:rightChars="12" w:firstLine="319" w:firstLineChars="133"/>
        <w:rPr>
          <w:rFonts w:ascii="Times New Roman" w:hAnsi="Times New Roman" w:cs="Times New Roman"/>
          <w:sz w:val="24"/>
        </w:rPr>
      </w:pPr>
      <w:r>
        <w:rPr>
          <w:rFonts w:ascii="Times New Roman" w:hAnsi="Times New Roman" w:cs="Times New Roman"/>
          <w:sz w:val="24"/>
        </w:rPr>
        <w:t>（五）本合同的附件为本合同不可分割的组成部分，与合同正文具有同等法律效力。</w:t>
      </w:r>
    </w:p>
    <w:p>
      <w:pPr>
        <w:pStyle w:val="10"/>
        <w:spacing w:line="360" w:lineRule="exact"/>
        <w:ind w:left="0" w:right="26" w:firstLine="319" w:firstLineChars="133"/>
        <w:rPr>
          <w:rFonts w:ascii="Times New Roman" w:hAnsi="Times New Roman" w:cs="Times New Roman"/>
        </w:rPr>
      </w:pPr>
      <w:r>
        <w:rPr>
          <w:rFonts w:ascii="Times New Roman" w:hAnsi="Times New Roman" w:cs="Times New Roman"/>
          <w:szCs w:val="22"/>
        </w:rPr>
        <w:t>（六）乙方所签订的关于《容桂街道公有物业消防、生产安全及环保管理责任书》为本合同的有效组成部分，与本合同具有同等法律效力。</w:t>
      </w:r>
    </w:p>
    <w:p>
      <w:pPr>
        <w:pStyle w:val="10"/>
        <w:spacing w:line="360" w:lineRule="exact"/>
        <w:ind w:left="0" w:right="26" w:firstLine="319" w:firstLineChars="133"/>
        <w:rPr>
          <w:rFonts w:ascii="Times New Roman" w:hAnsi="Times New Roman" w:cs="Times New Roman"/>
          <w:szCs w:val="22"/>
        </w:rPr>
      </w:pPr>
      <w:r>
        <w:rPr>
          <w:rFonts w:ascii="Times New Roman" w:hAnsi="Times New Roman" w:cs="Times New Roman"/>
          <w:szCs w:val="22"/>
        </w:rPr>
        <w:t>（七）本合同自签订之日起生效。合同如有未尽事宜，由双方约定后订立文字文件作为本合同附件，与本合同具有同等法律效力。</w:t>
      </w:r>
    </w:p>
    <w:p>
      <w:pPr>
        <w:spacing w:line="360" w:lineRule="exact"/>
        <w:ind w:firstLine="319" w:firstLineChars="133"/>
        <w:rPr>
          <w:rFonts w:ascii="Times New Roman" w:hAnsi="Times New Roman" w:cs="Times New Roman"/>
          <w:sz w:val="24"/>
        </w:rPr>
      </w:pPr>
      <w:r>
        <w:rPr>
          <w:rFonts w:ascii="Times New Roman" w:hAnsi="Times New Roman" w:cs="Times New Roman"/>
          <w:sz w:val="24"/>
        </w:rPr>
        <w:t>（八）甲、乙双方一切文书的有效送达方式：</w:t>
      </w:r>
    </w:p>
    <w:p>
      <w:pPr>
        <w:spacing w:line="360" w:lineRule="exact"/>
        <w:ind w:firstLine="480" w:firstLineChars="200"/>
        <w:rPr>
          <w:rFonts w:ascii="Times New Roman" w:hAnsi="Times New Roman" w:cs="Times New Roman"/>
          <w:sz w:val="24"/>
        </w:rPr>
      </w:pPr>
      <w:r>
        <w:rPr>
          <w:rFonts w:ascii="Times New Roman" w:hAnsi="Times New Roman" w:cs="Times New Roman"/>
          <w:sz w:val="24"/>
        </w:rPr>
        <w:t>1、邮寄到本合同约定的住所地址（若地址无人签收或拒绝签收，寄出文件视为送达）。地址有变动时，须书面通知对方，否则变更地址的一方需承担不利法律后果。</w:t>
      </w:r>
    </w:p>
    <w:p>
      <w:pPr>
        <w:pStyle w:val="10"/>
        <w:spacing w:line="360" w:lineRule="exact"/>
        <w:ind w:left="0" w:right="26" w:firstLine="480" w:firstLineChars="200"/>
        <w:rPr>
          <w:rFonts w:ascii="Times New Roman" w:hAnsi="Times New Roman" w:cs="Times New Roman"/>
          <w:szCs w:val="22"/>
        </w:rPr>
      </w:pPr>
      <w:r>
        <w:rPr>
          <w:rFonts w:ascii="Times New Roman" w:hAnsi="Times New Roman" w:cs="Times New Roman"/>
          <w:szCs w:val="22"/>
        </w:rPr>
        <w:t>2、在租赁土地上公示文书。</w:t>
      </w:r>
    </w:p>
    <w:p>
      <w:pPr>
        <w:pStyle w:val="10"/>
        <w:spacing w:line="360" w:lineRule="exact"/>
        <w:ind w:left="0" w:right="26" w:firstLine="480" w:firstLineChars="200"/>
        <w:rPr>
          <w:rFonts w:ascii="Times New Roman" w:hAnsi="Times New Roman" w:cs="Times New Roman"/>
          <w:szCs w:val="22"/>
        </w:rPr>
      </w:pPr>
      <w:r>
        <w:rPr>
          <w:rFonts w:ascii="Times New Roman" w:hAnsi="Times New Roman" w:cs="Times New Roman"/>
          <w:szCs w:val="22"/>
        </w:rPr>
        <w:t>（九）本合同所有附件、公开招租文件、招租中标成交凭证均为合同的有效组成部分，与本合同具有同等法律效力。</w:t>
      </w:r>
    </w:p>
    <w:p>
      <w:pPr>
        <w:pStyle w:val="10"/>
        <w:spacing w:line="360" w:lineRule="exact"/>
        <w:ind w:left="0" w:right="26" w:firstLine="480" w:firstLineChars="200"/>
        <w:rPr>
          <w:rFonts w:ascii="Times New Roman" w:hAnsi="Times New Roman" w:cs="Times New Roman"/>
          <w:szCs w:val="22"/>
        </w:rPr>
      </w:pPr>
      <w:r>
        <w:rPr>
          <w:rFonts w:ascii="Times New Roman" w:hAnsi="Times New Roman" w:cs="Times New Roman"/>
          <w:szCs w:val="22"/>
        </w:rPr>
        <w:t>（十）在执行本合同的过程中，所有经双方签署确认的文件（包括会议纪要、补充协议、往来信函）即成为本合同的有效组成部分。</w:t>
      </w:r>
    </w:p>
    <w:p>
      <w:pPr>
        <w:pStyle w:val="10"/>
        <w:spacing w:line="360" w:lineRule="exact"/>
        <w:ind w:left="0" w:right="26"/>
        <w:rPr>
          <w:rFonts w:ascii="Times New Roman" w:hAnsi="Times New Roman" w:cs="Times New Roman"/>
          <w:szCs w:val="22"/>
        </w:rPr>
      </w:pPr>
    </w:p>
    <w:p>
      <w:pPr>
        <w:pStyle w:val="41"/>
        <w:spacing w:line="360" w:lineRule="exact"/>
        <w:ind w:firstLine="482" w:firstLineChars="200"/>
        <w:rPr>
          <w:rFonts w:eastAsia="宋体"/>
          <w:b/>
          <w:sz w:val="24"/>
        </w:rPr>
      </w:pPr>
      <w:r>
        <w:rPr>
          <w:rFonts w:eastAsia="宋体"/>
          <w:b/>
          <w:sz w:val="24"/>
        </w:rPr>
        <w:t>第十二条 合同生效</w:t>
      </w:r>
    </w:p>
    <w:p>
      <w:pPr>
        <w:pStyle w:val="42"/>
        <w:spacing w:line="360" w:lineRule="exact"/>
        <w:ind w:firstLine="480"/>
        <w:rPr>
          <w:rFonts w:ascii="Times New Roman" w:eastAsia="宋体"/>
          <w:sz w:val="24"/>
        </w:rPr>
      </w:pPr>
      <w:r>
        <w:rPr>
          <w:rFonts w:ascii="Times New Roman" w:eastAsia="宋体"/>
          <w:sz w:val="24"/>
        </w:rPr>
        <w:t>本合同经甲、乙双方签字盖章即生效。本合同壹式伍份，甲方执肆份，乙方执壹份，具有同等法律效力。本合同未尽事宜，甲、乙双方可签订补充协议，补充协议与本合同具有同等法律效力。</w:t>
      </w:r>
    </w:p>
    <w:p>
      <w:pPr>
        <w:pStyle w:val="42"/>
        <w:spacing w:line="360" w:lineRule="exact"/>
        <w:ind w:firstLine="480"/>
        <w:rPr>
          <w:rFonts w:ascii="Times New Roman" w:eastAsia="宋体"/>
          <w:sz w:val="24"/>
        </w:rPr>
      </w:pPr>
    </w:p>
    <w:p>
      <w:pPr>
        <w:spacing w:line="360" w:lineRule="exact"/>
        <w:ind w:firstLine="482" w:firstLineChars="200"/>
        <w:rPr>
          <w:rFonts w:ascii="Times New Roman" w:hAnsi="Times New Roman" w:eastAsia="仿宋" w:cs="Times New Roman"/>
          <w:b/>
          <w:sz w:val="24"/>
        </w:rPr>
      </w:pPr>
      <w:r>
        <w:rPr>
          <w:rFonts w:ascii="Times New Roman" w:hAnsi="Times New Roman" w:eastAsia="仿宋" w:cs="Times New Roman"/>
          <w:b/>
          <w:sz w:val="24"/>
        </w:rPr>
        <w:t>特别声明：租赁期内，如甲方转让租赁土地的（包括但不限于以拍卖的方式），乙方同意甲方在报刊</w:t>
      </w:r>
      <w:r>
        <w:rPr>
          <w:rFonts w:ascii="Times New Roman" w:hAnsi="Times New Roman" w:eastAsia="仿宋" w:cs="Times New Roman"/>
          <w:b/>
          <w:sz w:val="24"/>
          <w:lang w:val="en-GB"/>
        </w:rPr>
        <w:t>或其他大众传播媒体</w:t>
      </w:r>
      <w:r>
        <w:rPr>
          <w:rFonts w:ascii="Times New Roman" w:hAnsi="Times New Roman" w:eastAsia="仿宋" w:cs="Times New Roman"/>
          <w:b/>
          <w:sz w:val="24"/>
        </w:rPr>
        <w:t>上刊登公告的方式进行通知。</w:t>
      </w:r>
    </w:p>
    <w:p>
      <w:pPr>
        <w:pStyle w:val="42"/>
        <w:spacing w:line="360" w:lineRule="exact"/>
        <w:ind w:firstLine="0" w:firstLineChars="0"/>
        <w:rPr>
          <w:rFonts w:ascii="Times New Roman" w:eastAsia="宋体"/>
          <w:sz w:val="24"/>
        </w:rPr>
      </w:pPr>
    </w:p>
    <w:p>
      <w:pPr>
        <w:pStyle w:val="42"/>
        <w:spacing w:line="360" w:lineRule="exact"/>
        <w:ind w:firstLine="0" w:firstLineChars="0"/>
        <w:rPr>
          <w:rFonts w:ascii="Times New Roman" w:eastAsia="宋体"/>
          <w:sz w:val="24"/>
        </w:rPr>
      </w:pPr>
      <w:r>
        <w:rPr>
          <w:rFonts w:ascii="Times New Roman" w:eastAsia="宋体"/>
          <w:sz w:val="24"/>
        </w:rPr>
        <w:t>附件：1、宗地平面图</w:t>
      </w:r>
    </w:p>
    <w:p>
      <w:pPr>
        <w:pStyle w:val="42"/>
        <w:spacing w:line="360" w:lineRule="exact"/>
        <w:ind w:firstLine="0" w:firstLineChars="0"/>
        <w:rPr>
          <w:rFonts w:ascii="Times New Roman" w:eastAsia="宋体"/>
          <w:sz w:val="24"/>
        </w:rPr>
      </w:pPr>
    </w:p>
    <w:p>
      <w:pPr>
        <w:pStyle w:val="41"/>
        <w:spacing w:line="360" w:lineRule="exact"/>
        <w:rPr>
          <w:rFonts w:eastAsia="宋体"/>
          <w:sz w:val="24"/>
        </w:rPr>
      </w:pP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dotDotDash" w:color="auto" w:sz="4" w:space="0"/>
        </w:tblBorders>
        <w:tblLayout w:type="fixed"/>
        <w:tblCellMar>
          <w:top w:w="0" w:type="dxa"/>
          <w:left w:w="108" w:type="dxa"/>
          <w:bottom w:w="0" w:type="dxa"/>
          <w:right w:w="108" w:type="dxa"/>
        </w:tblCellMar>
      </w:tblPr>
      <w:tblGrid>
        <w:gridCol w:w="4845"/>
        <w:gridCol w:w="3875"/>
      </w:tblGrid>
      <w:tr>
        <w:tblPrEx>
          <w:tblBorders>
            <w:top w:val="none" w:color="auto" w:sz="0" w:space="0"/>
            <w:left w:val="none" w:color="auto" w:sz="0" w:space="0"/>
            <w:bottom w:val="none" w:color="auto" w:sz="0" w:space="0"/>
            <w:right w:val="none" w:color="auto" w:sz="0" w:space="0"/>
            <w:insideH w:val="none" w:color="auto" w:sz="0" w:space="0"/>
            <w:insideV w:val="dotDotDash" w:color="auto" w:sz="4" w:space="0"/>
          </w:tblBorders>
          <w:tblCellMar>
            <w:top w:w="0" w:type="dxa"/>
            <w:left w:w="108" w:type="dxa"/>
            <w:bottom w:w="0" w:type="dxa"/>
            <w:right w:w="108" w:type="dxa"/>
          </w:tblCellMar>
        </w:tblPrEx>
        <w:trPr>
          <w:trHeight w:val="1285" w:hRule="atLeast"/>
        </w:trPr>
        <w:tc>
          <w:tcPr>
            <w:tcW w:w="4845" w:type="dxa"/>
            <w:tcBorders>
              <w:tl2br w:val="nil"/>
              <w:tr2bl w:val="nil"/>
            </w:tcBorders>
          </w:tcPr>
          <w:p>
            <w:pPr>
              <w:pStyle w:val="41"/>
              <w:spacing w:line="360" w:lineRule="exact"/>
              <w:rPr>
                <w:rFonts w:eastAsia="宋体"/>
                <w:sz w:val="24"/>
              </w:rPr>
            </w:pPr>
            <w:r>
              <w:rPr>
                <w:rFonts w:eastAsia="宋体"/>
                <w:sz w:val="24"/>
              </w:rPr>
              <w:t>甲方（签章）：</w:t>
            </w:r>
          </w:p>
          <w:p>
            <w:pPr>
              <w:pStyle w:val="41"/>
              <w:spacing w:line="360" w:lineRule="exact"/>
              <w:rPr>
                <w:rFonts w:eastAsia="宋体"/>
                <w:sz w:val="24"/>
              </w:rPr>
            </w:pPr>
          </w:p>
          <w:p>
            <w:pPr>
              <w:pStyle w:val="41"/>
              <w:spacing w:line="360" w:lineRule="exact"/>
              <w:rPr>
                <w:rFonts w:eastAsia="宋体"/>
                <w:sz w:val="24"/>
              </w:rPr>
            </w:pPr>
            <w:r>
              <w:rPr>
                <w:rFonts w:eastAsia="宋体"/>
                <w:sz w:val="24"/>
              </w:rPr>
              <w:t>法定代表人/委托代理人（签章）：</w:t>
            </w:r>
          </w:p>
        </w:tc>
        <w:tc>
          <w:tcPr>
            <w:tcW w:w="3875" w:type="dxa"/>
            <w:tcBorders>
              <w:tl2br w:val="nil"/>
              <w:tr2bl w:val="nil"/>
            </w:tcBorders>
          </w:tcPr>
          <w:p>
            <w:pPr>
              <w:pStyle w:val="41"/>
              <w:spacing w:line="360" w:lineRule="exact"/>
              <w:rPr>
                <w:rFonts w:eastAsia="宋体"/>
                <w:sz w:val="24"/>
              </w:rPr>
            </w:pPr>
            <w:r>
              <w:rPr>
                <w:rFonts w:eastAsia="宋体"/>
                <w:sz w:val="24"/>
              </w:rPr>
              <w:t>乙方（签章）：</w:t>
            </w:r>
          </w:p>
          <w:p>
            <w:pPr>
              <w:pStyle w:val="41"/>
              <w:spacing w:line="360" w:lineRule="exact"/>
              <w:rPr>
                <w:rFonts w:eastAsia="宋体"/>
                <w:sz w:val="24"/>
              </w:rPr>
            </w:pPr>
          </w:p>
          <w:p>
            <w:pPr>
              <w:pStyle w:val="41"/>
              <w:spacing w:line="360" w:lineRule="exact"/>
              <w:rPr>
                <w:rFonts w:eastAsia="宋体"/>
                <w:sz w:val="24"/>
              </w:rPr>
            </w:pPr>
            <w:r>
              <w:rPr>
                <w:rFonts w:eastAsia="宋体"/>
                <w:sz w:val="24"/>
              </w:rPr>
              <w:t>法定代表人/委托代理人（签章）：</w:t>
            </w:r>
          </w:p>
        </w:tc>
      </w:tr>
    </w:tbl>
    <w:p>
      <w:pPr>
        <w:pStyle w:val="41"/>
        <w:spacing w:line="360" w:lineRule="exact"/>
        <w:rPr>
          <w:rFonts w:eastAsia="宋体"/>
          <w:sz w:val="24"/>
        </w:rPr>
      </w:pPr>
    </w:p>
    <w:p>
      <w:pPr>
        <w:pStyle w:val="41"/>
        <w:spacing w:line="360" w:lineRule="exact"/>
        <w:rPr>
          <w:rFonts w:eastAsia="宋体"/>
          <w:sz w:val="24"/>
        </w:rPr>
      </w:pPr>
      <w:r>
        <w:rPr>
          <w:rFonts w:eastAsia="宋体"/>
          <w:sz w:val="24"/>
        </w:rPr>
        <w:t>签订时间：    年  月  日            签订地点：佛山市顺德区</w:t>
      </w:r>
      <w:r>
        <w:rPr>
          <w:rFonts w:eastAsia="宋体"/>
          <w:sz w:val="24"/>
        </w:rPr>
        <w:tab/>
      </w:r>
    </w:p>
    <w:p>
      <w:pPr>
        <w:spacing w:line="360" w:lineRule="exact"/>
        <w:rPr>
          <w:rFonts w:ascii="Times New Roman" w:hAnsi="Times New Roman" w:cs="Times New Roman"/>
          <w:sz w:val="24"/>
          <w:szCs w:val="24"/>
        </w:rPr>
      </w:pPr>
    </w:p>
    <w:p>
      <w:pPr>
        <w:spacing w:line="360" w:lineRule="auto"/>
        <w:jc w:val="center"/>
        <w:rPr>
          <w:rFonts w:ascii="仿宋_GB2312" w:hAnsi="仿宋_GB2312" w:eastAsia="仿宋_GB2312" w:cs="仿宋_GB2312"/>
          <w:b/>
          <w:bCs/>
          <w:kern w:val="2"/>
          <w:sz w:val="44"/>
          <w:szCs w:val="44"/>
          <w:lang w:val="en-US" w:bidi="ar-SA"/>
        </w:rPr>
      </w:pPr>
    </w:p>
    <w:p>
      <w:pPr>
        <w:pStyle w:val="42"/>
        <w:autoSpaceDE w:val="0"/>
        <w:autoSpaceDN w:val="0"/>
        <w:spacing w:line="240" w:lineRule="auto"/>
        <w:ind w:firstLine="0" w:firstLineChars="0"/>
        <w:rPr>
          <w:rFonts w:ascii="宋体" w:hAnsi="宋体" w:eastAsia="宋体" w:cs="宋体"/>
          <w:b/>
          <w:sz w:val="24"/>
        </w:rPr>
      </w:pPr>
    </w:p>
    <w:sectPr>
      <w:headerReference r:id="rId5" w:type="default"/>
      <w:footerReference r:id="rId6" w:type="default"/>
      <w:footerReference r:id="rId7" w:type="even"/>
      <w:pgSz w:w="11906" w:h="16838"/>
      <w:pgMar w:top="1178" w:right="1531" w:bottom="320" w:left="1531" w:header="1457" w:footer="1520" w:gutter="0"/>
      <w:cols w:space="720" w:num="1"/>
      <w:docGrid w:linePitch="48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方正细等线简体">
    <w:altName w:val="宋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algun Gothic">
    <w:panose1 w:val="020B0503020000020004"/>
    <w:charset w:val="81"/>
    <w:family w:val="swiss"/>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3740150</wp:posOffset>
              </wp:positionH>
              <wp:positionV relativeFrom="page">
                <wp:posOffset>10034905</wp:posOffset>
              </wp:positionV>
              <wp:extent cx="107950" cy="1397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a:effectLst/>
                    </wps:spPr>
                    <wps:txbx>
                      <w:txbxContent>
                        <w:p>
                          <w:pPr>
                            <w:spacing w:line="220"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2</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4.5pt;margin-top:790.15pt;height:11pt;width:8.5pt;mso-position-horizontal-relative:page;mso-position-vertical-relative:page;z-index:-251657216;mso-width-relative:page;mso-height-relative:page;" filled="f" stroked="f" coordsize="21600,21600" o:gfxdata="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b8l43aAAAADQEAAA8AAAAAAAAAAQAgAAAAIgAAAGRycy9kb3ducmV2Lnht&#10;bFBLAQIUABQAAAAIAIdO4kAaO/8svgEAAIADAAAOAAAAAAAAAAEAIAAAACkBAABkcnMvZTJvRG9j&#10;LnhtbFBLBQYAAAAABgAGAFkBAABZBQAAAAA=&#10;">
              <v:fill on="f" focussize="0,0"/>
              <v:stroke on="f"/>
              <v:imagedata o:title=""/>
              <o:lock v:ext="edit" aspectratio="f"/>
              <v:textbox inset="0mm,0mm,0mm,0mm">
                <w:txbxContent>
                  <w:p>
                    <w:pPr>
                      <w:spacing w:line="220"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9"/>
      </w:rPr>
    </w:pPr>
    <w:r>
      <mc:AlternateContent>
        <mc:Choice Requires="wps">
          <w:drawing>
            <wp:anchor distT="0" distB="0" distL="114300" distR="114300" simplePos="0" relativeHeight="251660288" behindDoc="1" locked="0" layoutInCell="1" allowOverlap="1">
              <wp:simplePos x="0" y="0"/>
              <wp:positionH relativeFrom="page">
                <wp:posOffset>3654425</wp:posOffset>
              </wp:positionH>
              <wp:positionV relativeFrom="page">
                <wp:posOffset>10231120</wp:posOffset>
              </wp:positionV>
              <wp:extent cx="166370" cy="194945"/>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66370" cy="194945"/>
                      </a:xfrm>
                      <a:prstGeom prst="rect">
                        <a:avLst/>
                      </a:prstGeom>
                      <a:noFill/>
                      <a:ln>
                        <a:noFill/>
                      </a:ln>
                      <a:effectLst/>
                    </wps:spPr>
                    <wps:txbx>
                      <w:txbxContent>
                        <w:p>
                          <w:pPr>
                            <w:spacing w:before="81" w:line="225"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26</w:t>
                          </w:r>
                          <w:r>
                            <w:fldChar w:fldCharType="end"/>
                          </w:r>
                        </w:p>
                      </w:txbxContent>
                    </wps:txbx>
                    <wps:bodyPr lIns="0" tIns="0" rIns="0" bIns="0" upright="1"/>
                  </wps:wsp>
                </a:graphicData>
              </a:graphic>
            </wp:anchor>
          </w:drawing>
        </mc:Choice>
        <mc:Fallback>
          <w:pict>
            <v:shape id="文本框 2" o:spid="_x0000_s1026" o:spt="202" type="#_x0000_t202" style="position:absolute;left:0pt;margin-left:287.75pt;margin-top:805.6pt;height:15.35pt;width:13.1pt;mso-position-horizontal-relative:page;mso-position-vertical-relative:page;z-index:-251656192;mso-width-relative:page;mso-height-relative:page;" filled="f" stroked="f" coordsize="21600,21600" o:gfxdata="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UNQFdoAAAANAQAADwAAAAAAAAABACAAAAAiAAAAZHJzL2Rvd25yZXYueG1s&#10;UEsBAhQAFAAAAAgAh07iQIgpg5u9AQAAgAMAAA4AAAAAAAAAAQAgAAAAKQEAAGRycy9lMm9Eb2Mu&#10;eG1sUEsFBgAAAAAGAAYAWQEAAFgFAAAAAA==&#10;">
              <v:fill on="f" focussize="0,0"/>
              <v:stroke on="f"/>
              <v:imagedata o:title=""/>
              <o:lock v:ext="edit" aspectratio="f"/>
              <v:textbox inset="0mm,0mm,0mm,0mm">
                <w:txbxContent>
                  <w:p>
                    <w:pPr>
                      <w:spacing w:before="81" w:line="225"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eastAsia="仿宋_GB2312"/>
                            </w:rPr>
                          </w:pPr>
                          <w:r>
                            <w:rPr>
                              <w:rFonts w:hint="eastAsia"/>
                            </w:rPr>
                            <w:t xml:space="preserve">第 </w:t>
                          </w:r>
                          <w:r>
                            <w:fldChar w:fldCharType="begin"/>
                          </w:r>
                          <w:r>
                            <w:instrText xml:space="preserve"> PAGE  \* MERGEFORMAT </w:instrText>
                          </w:r>
                          <w:r>
                            <w:fldChar w:fldCharType="separate"/>
                          </w:r>
                          <w:r>
                            <w:rPr>
                              <w:lang w:val="en-US"/>
                            </w:rPr>
                            <w:t>37</w:t>
                          </w:r>
                          <w:r>
                            <w:rPr>
                              <w:lang w:val="en-US"/>
                            </w:rPr>
                            <w:fldChar w:fldCharType="end"/>
                          </w:r>
                          <w:r>
                            <w:rPr>
                              <w:rFonts w:hint="eastAsia"/>
                            </w:rPr>
                            <w:t xml:space="preserve"> 页 共 </w:t>
                          </w:r>
                          <w:r>
                            <w:fldChar w:fldCharType="begin"/>
                          </w:r>
                          <w:r>
                            <w:instrText xml:space="preserve"> NUMPAGES  \* MERGEFORMAT </w:instrText>
                          </w:r>
                          <w:r>
                            <w:fldChar w:fldCharType="separate"/>
                          </w:r>
                          <w:r>
                            <w:rPr>
                              <w:lang w:val="en-US"/>
                            </w:rPr>
                            <w:t>38</w:t>
                          </w:r>
                          <w:r>
                            <w:rPr>
                              <w:lang w:val="en-US"/>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pStyle w:val="13"/>
                      <w:rPr>
                        <w:rFonts w:eastAsia="仿宋_GB2312"/>
                      </w:rPr>
                    </w:pPr>
                    <w:r>
                      <w:rPr>
                        <w:rFonts w:hint="eastAsia"/>
                      </w:rPr>
                      <w:t xml:space="preserve">第 </w:t>
                    </w:r>
                    <w:r>
                      <w:fldChar w:fldCharType="begin"/>
                    </w:r>
                    <w:r>
                      <w:instrText xml:space="preserve"> PAGE  \* MERGEFORMAT </w:instrText>
                    </w:r>
                    <w:r>
                      <w:fldChar w:fldCharType="separate"/>
                    </w:r>
                    <w:r>
                      <w:rPr>
                        <w:lang w:val="en-US"/>
                      </w:rPr>
                      <w:t>37</w:t>
                    </w:r>
                    <w:r>
                      <w:rPr>
                        <w:lang w:val="en-US"/>
                      </w:rPr>
                      <w:fldChar w:fldCharType="end"/>
                    </w:r>
                    <w:r>
                      <w:rPr>
                        <w:rFonts w:hint="eastAsia"/>
                      </w:rPr>
                      <w:t xml:space="preserve"> 页 共 </w:t>
                    </w:r>
                    <w:r>
                      <w:fldChar w:fldCharType="begin"/>
                    </w:r>
                    <w:r>
                      <w:instrText xml:space="preserve"> NUMPAGES  \* MERGEFORMAT </w:instrText>
                    </w:r>
                    <w:r>
                      <w:fldChar w:fldCharType="separate"/>
                    </w:r>
                    <w:r>
                      <w:rPr>
                        <w:lang w:val="en-US"/>
                      </w:rPr>
                      <w:t>38</w:t>
                    </w:r>
                    <w:r>
                      <w:rPr>
                        <w:lang w:val="en-US"/>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jc w:val="right"/>
      <w:rPr>
        <w:rStyle w:val="25"/>
        <w:sz w:val="28"/>
        <w:szCs w:val="28"/>
      </w:rPr>
    </w:pPr>
    <w:r>
      <w:rPr>
        <w:rStyle w:val="25"/>
        <w:rFonts w:hint="eastAsia"/>
        <w:sz w:val="28"/>
        <w:szCs w:val="28"/>
      </w:rPr>
      <w:t xml:space="preserve">— </w:t>
    </w:r>
    <w:r>
      <w:rPr>
        <w:rFonts w:hint="eastAsia"/>
        <w:sz w:val="28"/>
        <w:szCs w:val="28"/>
      </w:rPr>
      <w:fldChar w:fldCharType="begin"/>
    </w:r>
    <w:r>
      <w:rPr>
        <w:rStyle w:val="25"/>
        <w:rFonts w:hint="eastAsia"/>
        <w:sz w:val="28"/>
        <w:szCs w:val="28"/>
      </w:rPr>
      <w:instrText xml:space="preserve">PAGE  </w:instrText>
    </w:r>
    <w:r>
      <w:rPr>
        <w:rFonts w:hint="eastAsia"/>
        <w:sz w:val="28"/>
        <w:szCs w:val="28"/>
      </w:rPr>
      <w:fldChar w:fldCharType="separate"/>
    </w:r>
    <w:r>
      <w:rPr>
        <w:rStyle w:val="25"/>
        <w:rFonts w:hint="eastAsia"/>
        <w:sz w:val="28"/>
        <w:szCs w:val="28"/>
      </w:rPr>
      <w:t>2</w:t>
    </w:r>
    <w:r>
      <w:rPr>
        <w:rFonts w:hint="eastAsia"/>
        <w:sz w:val="28"/>
        <w:szCs w:val="28"/>
      </w:rPr>
      <w:fldChar w:fldCharType="end"/>
    </w:r>
    <w:r>
      <w:rPr>
        <w:rStyle w:val="25"/>
        <w:rFonts w:hint="eastAsia"/>
        <w:sz w:val="28"/>
        <w:szCs w:val="28"/>
      </w:rPr>
      <w:t xml:space="preserve"> —</w:t>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DD3B3"/>
    <w:multiLevelType w:val="singleLevel"/>
    <w:tmpl w:val="D5ADD3B3"/>
    <w:lvl w:ilvl="0" w:tentative="0">
      <w:start w:val="1"/>
      <w:numFmt w:val="decimal"/>
      <w:suff w:val="nothing"/>
      <w:lvlText w:val="%1、"/>
      <w:lvlJc w:val="left"/>
    </w:lvl>
  </w:abstractNum>
  <w:abstractNum w:abstractNumId="1">
    <w:nsid w:val="0000000A"/>
    <w:multiLevelType w:val="singleLevel"/>
    <w:tmpl w:val="0000000A"/>
    <w:lvl w:ilvl="0" w:tentative="0">
      <w:start w:val="1"/>
      <w:numFmt w:val="chineseCounting"/>
      <w:suff w:val="nothing"/>
      <w:lvlText w:val="（%1）"/>
      <w:lvlJc w:val="left"/>
    </w:lvl>
  </w:abstractNum>
  <w:abstractNum w:abstractNumId="2">
    <w:nsid w:val="0000000B"/>
    <w:multiLevelType w:val="singleLevel"/>
    <w:tmpl w:val="0000000B"/>
    <w:lvl w:ilvl="0" w:tentative="0">
      <w:start w:val="1"/>
      <w:numFmt w:val="chineseCounting"/>
      <w:suff w:val="space"/>
      <w:lvlText w:val="第%1条"/>
      <w:lvlJc w:val="left"/>
    </w:lvl>
  </w:abstractNum>
  <w:abstractNum w:abstractNumId="3">
    <w:nsid w:val="27A78AB1"/>
    <w:multiLevelType w:val="singleLevel"/>
    <w:tmpl w:val="27A78AB1"/>
    <w:lvl w:ilvl="0" w:tentative="0">
      <w:start w:val="2"/>
      <w:numFmt w:val="chineseCounting"/>
      <w:suff w:val="nothing"/>
      <w:lvlText w:val="（%1）"/>
      <w:lvlJc w:val="left"/>
      <w:rPr>
        <w:rFonts w:hint="eastAsia"/>
      </w:rPr>
    </w:lvl>
  </w:abstractNum>
  <w:abstractNum w:abstractNumId="4">
    <w:nsid w:val="37DE8298"/>
    <w:multiLevelType w:val="singleLevel"/>
    <w:tmpl w:val="37DE8298"/>
    <w:lvl w:ilvl="0" w:tentative="0">
      <w:start w:val="2"/>
      <w:numFmt w:val="chineseCounting"/>
      <w:suff w:val="nothing"/>
      <w:lvlText w:val="（%1）"/>
      <w:lvlJc w:val="left"/>
      <w:rPr>
        <w:rFonts w:hint="eastAsia"/>
      </w:rPr>
    </w:lvl>
  </w:abstractNum>
  <w:abstractNum w:abstractNumId="5">
    <w:nsid w:val="39B07D90"/>
    <w:multiLevelType w:val="singleLevel"/>
    <w:tmpl w:val="39B07D90"/>
    <w:lvl w:ilvl="0" w:tentative="0">
      <w:start w:val="2"/>
      <w:numFmt w:val="chineseCounting"/>
      <w:suff w:val="space"/>
      <w:lvlText w:val="第%1部分"/>
      <w:lvlJc w:val="left"/>
      <w:rPr>
        <w:rFonts w:hint="eastAsia"/>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5"/>
  <w:bordersDoNotSurroundHeader w:val="1"/>
  <w:bordersDoNotSurroundFooter w:val="1"/>
  <w:revisionView w:markup="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DgxNGJhYTFjMmFlNDc0Zjc0NzdkMGU0MWUzOTkifQ=="/>
  </w:docVars>
  <w:rsids>
    <w:rsidRoot w:val="000D20C2"/>
    <w:rsid w:val="0000014E"/>
    <w:rsid w:val="00004FBA"/>
    <w:rsid w:val="0000690E"/>
    <w:rsid w:val="00020E4E"/>
    <w:rsid w:val="00025676"/>
    <w:rsid w:val="00026E7E"/>
    <w:rsid w:val="0003684F"/>
    <w:rsid w:val="00036916"/>
    <w:rsid w:val="00054883"/>
    <w:rsid w:val="00060FE1"/>
    <w:rsid w:val="00070461"/>
    <w:rsid w:val="00091958"/>
    <w:rsid w:val="00091EC4"/>
    <w:rsid w:val="00095CAC"/>
    <w:rsid w:val="000A0751"/>
    <w:rsid w:val="000A4942"/>
    <w:rsid w:val="000A7548"/>
    <w:rsid w:val="000C30B9"/>
    <w:rsid w:val="000C7719"/>
    <w:rsid w:val="000D20C2"/>
    <w:rsid w:val="000D2FC6"/>
    <w:rsid w:val="000D71CE"/>
    <w:rsid w:val="000D72F9"/>
    <w:rsid w:val="000F1283"/>
    <w:rsid w:val="000F4313"/>
    <w:rsid w:val="000F5C8F"/>
    <w:rsid w:val="000F7136"/>
    <w:rsid w:val="00111899"/>
    <w:rsid w:val="001218A9"/>
    <w:rsid w:val="00126379"/>
    <w:rsid w:val="00132412"/>
    <w:rsid w:val="00147F75"/>
    <w:rsid w:val="0015126E"/>
    <w:rsid w:val="00151467"/>
    <w:rsid w:val="00174800"/>
    <w:rsid w:val="001817A8"/>
    <w:rsid w:val="00181DF3"/>
    <w:rsid w:val="00184878"/>
    <w:rsid w:val="001A19DC"/>
    <w:rsid w:val="001A3CA4"/>
    <w:rsid w:val="001B1E84"/>
    <w:rsid w:val="001B241A"/>
    <w:rsid w:val="001C4C0C"/>
    <w:rsid w:val="001D222F"/>
    <w:rsid w:val="001D253B"/>
    <w:rsid w:val="001D2BA7"/>
    <w:rsid w:val="001E14C9"/>
    <w:rsid w:val="001E150E"/>
    <w:rsid w:val="001E18F2"/>
    <w:rsid w:val="001F0795"/>
    <w:rsid w:val="001F2A7E"/>
    <w:rsid w:val="001F30BD"/>
    <w:rsid w:val="002003A8"/>
    <w:rsid w:val="00201DB0"/>
    <w:rsid w:val="0020205D"/>
    <w:rsid w:val="0020598E"/>
    <w:rsid w:val="002101B9"/>
    <w:rsid w:val="0021473A"/>
    <w:rsid w:val="0022182F"/>
    <w:rsid w:val="002221CD"/>
    <w:rsid w:val="0022229F"/>
    <w:rsid w:val="00226FC4"/>
    <w:rsid w:val="002350BF"/>
    <w:rsid w:val="00250AD2"/>
    <w:rsid w:val="00255796"/>
    <w:rsid w:val="0026008D"/>
    <w:rsid w:val="002607D3"/>
    <w:rsid w:val="00270DB4"/>
    <w:rsid w:val="00273366"/>
    <w:rsid w:val="00273D60"/>
    <w:rsid w:val="00273E7F"/>
    <w:rsid w:val="00274DF1"/>
    <w:rsid w:val="00285BB8"/>
    <w:rsid w:val="00294332"/>
    <w:rsid w:val="00295D6B"/>
    <w:rsid w:val="002A7EA3"/>
    <w:rsid w:val="002B576D"/>
    <w:rsid w:val="002B704F"/>
    <w:rsid w:val="002D2651"/>
    <w:rsid w:val="002D280D"/>
    <w:rsid w:val="002D315F"/>
    <w:rsid w:val="002D5AD0"/>
    <w:rsid w:val="002D7F08"/>
    <w:rsid w:val="002E4505"/>
    <w:rsid w:val="002E60D2"/>
    <w:rsid w:val="002E6559"/>
    <w:rsid w:val="002F0932"/>
    <w:rsid w:val="002F0F89"/>
    <w:rsid w:val="002F74F6"/>
    <w:rsid w:val="00303E3A"/>
    <w:rsid w:val="00306607"/>
    <w:rsid w:val="0031140D"/>
    <w:rsid w:val="00313AB0"/>
    <w:rsid w:val="003167A4"/>
    <w:rsid w:val="00316B25"/>
    <w:rsid w:val="00320355"/>
    <w:rsid w:val="003209E3"/>
    <w:rsid w:val="00320BF6"/>
    <w:rsid w:val="00332253"/>
    <w:rsid w:val="00332D78"/>
    <w:rsid w:val="00342F3F"/>
    <w:rsid w:val="003550D0"/>
    <w:rsid w:val="00357610"/>
    <w:rsid w:val="00365BEF"/>
    <w:rsid w:val="00365F6E"/>
    <w:rsid w:val="00370FA2"/>
    <w:rsid w:val="00375AE5"/>
    <w:rsid w:val="00377924"/>
    <w:rsid w:val="00380009"/>
    <w:rsid w:val="00384CCD"/>
    <w:rsid w:val="003C31DB"/>
    <w:rsid w:val="003C6156"/>
    <w:rsid w:val="003D1501"/>
    <w:rsid w:val="003D480F"/>
    <w:rsid w:val="003D5AA1"/>
    <w:rsid w:val="003E0AB9"/>
    <w:rsid w:val="003E2D77"/>
    <w:rsid w:val="003E3D8E"/>
    <w:rsid w:val="003F110A"/>
    <w:rsid w:val="00400065"/>
    <w:rsid w:val="004008DE"/>
    <w:rsid w:val="00403E8C"/>
    <w:rsid w:val="00404474"/>
    <w:rsid w:val="00404593"/>
    <w:rsid w:val="00404AB8"/>
    <w:rsid w:val="00417789"/>
    <w:rsid w:val="00426815"/>
    <w:rsid w:val="004334D2"/>
    <w:rsid w:val="00435FB8"/>
    <w:rsid w:val="00445797"/>
    <w:rsid w:val="0044601E"/>
    <w:rsid w:val="004536F4"/>
    <w:rsid w:val="00453EB1"/>
    <w:rsid w:val="00457F1C"/>
    <w:rsid w:val="00464DBF"/>
    <w:rsid w:val="00466637"/>
    <w:rsid w:val="00472081"/>
    <w:rsid w:val="0047346F"/>
    <w:rsid w:val="00484198"/>
    <w:rsid w:val="004A1DDB"/>
    <w:rsid w:val="004A331C"/>
    <w:rsid w:val="004B6C77"/>
    <w:rsid w:val="004C010B"/>
    <w:rsid w:val="004C30BC"/>
    <w:rsid w:val="004C3F46"/>
    <w:rsid w:val="004C4369"/>
    <w:rsid w:val="004D2E6F"/>
    <w:rsid w:val="004D5AAC"/>
    <w:rsid w:val="004E1AF9"/>
    <w:rsid w:val="004E4115"/>
    <w:rsid w:val="004F1D52"/>
    <w:rsid w:val="004F1F9D"/>
    <w:rsid w:val="004F3B57"/>
    <w:rsid w:val="00501AB0"/>
    <w:rsid w:val="00502DC2"/>
    <w:rsid w:val="005051FF"/>
    <w:rsid w:val="00505927"/>
    <w:rsid w:val="00517362"/>
    <w:rsid w:val="00520DB8"/>
    <w:rsid w:val="00527149"/>
    <w:rsid w:val="005321BF"/>
    <w:rsid w:val="00532E8A"/>
    <w:rsid w:val="00542518"/>
    <w:rsid w:val="00544346"/>
    <w:rsid w:val="00550750"/>
    <w:rsid w:val="005523ED"/>
    <w:rsid w:val="00553521"/>
    <w:rsid w:val="00553993"/>
    <w:rsid w:val="005542BE"/>
    <w:rsid w:val="00555F67"/>
    <w:rsid w:val="00557179"/>
    <w:rsid w:val="00557D9E"/>
    <w:rsid w:val="00560E34"/>
    <w:rsid w:val="0057101F"/>
    <w:rsid w:val="005730CD"/>
    <w:rsid w:val="00592C96"/>
    <w:rsid w:val="005B0E94"/>
    <w:rsid w:val="005B100A"/>
    <w:rsid w:val="005B3DA3"/>
    <w:rsid w:val="005B5104"/>
    <w:rsid w:val="005C1EE5"/>
    <w:rsid w:val="005C421B"/>
    <w:rsid w:val="005D541A"/>
    <w:rsid w:val="005E34AE"/>
    <w:rsid w:val="005F5BF4"/>
    <w:rsid w:val="00601044"/>
    <w:rsid w:val="00602BB8"/>
    <w:rsid w:val="00602DF6"/>
    <w:rsid w:val="0061248F"/>
    <w:rsid w:val="00615AF1"/>
    <w:rsid w:val="00621B54"/>
    <w:rsid w:val="00621F64"/>
    <w:rsid w:val="00623D94"/>
    <w:rsid w:val="00630558"/>
    <w:rsid w:val="0063232A"/>
    <w:rsid w:val="006332FB"/>
    <w:rsid w:val="00654342"/>
    <w:rsid w:val="00654938"/>
    <w:rsid w:val="00656DEA"/>
    <w:rsid w:val="00660B52"/>
    <w:rsid w:val="0066136A"/>
    <w:rsid w:val="006619A7"/>
    <w:rsid w:val="00663978"/>
    <w:rsid w:val="00665640"/>
    <w:rsid w:val="00675DC3"/>
    <w:rsid w:val="006765D1"/>
    <w:rsid w:val="00680E14"/>
    <w:rsid w:val="00686247"/>
    <w:rsid w:val="006905F4"/>
    <w:rsid w:val="006931F1"/>
    <w:rsid w:val="006954A0"/>
    <w:rsid w:val="006A6F6E"/>
    <w:rsid w:val="006B3466"/>
    <w:rsid w:val="006B4CB8"/>
    <w:rsid w:val="006C0A8F"/>
    <w:rsid w:val="006C2734"/>
    <w:rsid w:val="006C56E2"/>
    <w:rsid w:val="006C6546"/>
    <w:rsid w:val="006F407A"/>
    <w:rsid w:val="006F45BC"/>
    <w:rsid w:val="006F63BB"/>
    <w:rsid w:val="0070538F"/>
    <w:rsid w:val="00705F66"/>
    <w:rsid w:val="007146CD"/>
    <w:rsid w:val="00724A3D"/>
    <w:rsid w:val="0072510C"/>
    <w:rsid w:val="00731567"/>
    <w:rsid w:val="00742153"/>
    <w:rsid w:val="00743043"/>
    <w:rsid w:val="00747B8F"/>
    <w:rsid w:val="00756C18"/>
    <w:rsid w:val="00756ECE"/>
    <w:rsid w:val="0076071F"/>
    <w:rsid w:val="00761A17"/>
    <w:rsid w:val="007628D7"/>
    <w:rsid w:val="00770ADD"/>
    <w:rsid w:val="00782EA1"/>
    <w:rsid w:val="007838DA"/>
    <w:rsid w:val="007842D8"/>
    <w:rsid w:val="00786C28"/>
    <w:rsid w:val="0079356F"/>
    <w:rsid w:val="00793664"/>
    <w:rsid w:val="00793751"/>
    <w:rsid w:val="007A0E51"/>
    <w:rsid w:val="007A3FE9"/>
    <w:rsid w:val="007B21DA"/>
    <w:rsid w:val="007C6C03"/>
    <w:rsid w:val="007C7658"/>
    <w:rsid w:val="007D3DD2"/>
    <w:rsid w:val="007E1BE3"/>
    <w:rsid w:val="007E6D0C"/>
    <w:rsid w:val="007E7593"/>
    <w:rsid w:val="007F022F"/>
    <w:rsid w:val="007F48B3"/>
    <w:rsid w:val="007F566F"/>
    <w:rsid w:val="00802DA1"/>
    <w:rsid w:val="00811599"/>
    <w:rsid w:val="00812BA6"/>
    <w:rsid w:val="0081416C"/>
    <w:rsid w:val="00822E2C"/>
    <w:rsid w:val="00823D50"/>
    <w:rsid w:val="00827A69"/>
    <w:rsid w:val="00833465"/>
    <w:rsid w:val="00840BFB"/>
    <w:rsid w:val="00851E2C"/>
    <w:rsid w:val="00852018"/>
    <w:rsid w:val="00853BE0"/>
    <w:rsid w:val="00862767"/>
    <w:rsid w:val="0086298F"/>
    <w:rsid w:val="008666A0"/>
    <w:rsid w:val="00871C84"/>
    <w:rsid w:val="008739CC"/>
    <w:rsid w:val="00877AD1"/>
    <w:rsid w:val="00883166"/>
    <w:rsid w:val="00887009"/>
    <w:rsid w:val="008918F4"/>
    <w:rsid w:val="008A5FFF"/>
    <w:rsid w:val="008B6EB3"/>
    <w:rsid w:val="008C0169"/>
    <w:rsid w:val="008C205B"/>
    <w:rsid w:val="008C3AEC"/>
    <w:rsid w:val="008C5AA9"/>
    <w:rsid w:val="008D4EA4"/>
    <w:rsid w:val="008D5B75"/>
    <w:rsid w:val="008E500B"/>
    <w:rsid w:val="009246A8"/>
    <w:rsid w:val="00927468"/>
    <w:rsid w:val="009314D8"/>
    <w:rsid w:val="009329C2"/>
    <w:rsid w:val="00937075"/>
    <w:rsid w:val="00941D89"/>
    <w:rsid w:val="00943A25"/>
    <w:rsid w:val="00945A0A"/>
    <w:rsid w:val="00947D70"/>
    <w:rsid w:val="009646FB"/>
    <w:rsid w:val="00965EA4"/>
    <w:rsid w:val="00974DE9"/>
    <w:rsid w:val="00980782"/>
    <w:rsid w:val="00982EBC"/>
    <w:rsid w:val="0099209A"/>
    <w:rsid w:val="009941BA"/>
    <w:rsid w:val="0099636F"/>
    <w:rsid w:val="00996602"/>
    <w:rsid w:val="00996BAA"/>
    <w:rsid w:val="009A13CB"/>
    <w:rsid w:val="009B0B88"/>
    <w:rsid w:val="009B156E"/>
    <w:rsid w:val="009B24F2"/>
    <w:rsid w:val="009B2CF4"/>
    <w:rsid w:val="009B3E42"/>
    <w:rsid w:val="009C2D80"/>
    <w:rsid w:val="009C4B30"/>
    <w:rsid w:val="009C677F"/>
    <w:rsid w:val="009D187D"/>
    <w:rsid w:val="009D2B09"/>
    <w:rsid w:val="009E4625"/>
    <w:rsid w:val="009F4B50"/>
    <w:rsid w:val="00A10258"/>
    <w:rsid w:val="00A1133E"/>
    <w:rsid w:val="00A1456D"/>
    <w:rsid w:val="00A14A20"/>
    <w:rsid w:val="00A160B6"/>
    <w:rsid w:val="00A203E6"/>
    <w:rsid w:val="00A30B26"/>
    <w:rsid w:val="00A36187"/>
    <w:rsid w:val="00A42AFA"/>
    <w:rsid w:val="00A533D5"/>
    <w:rsid w:val="00A567E3"/>
    <w:rsid w:val="00A57CEB"/>
    <w:rsid w:val="00A63AE3"/>
    <w:rsid w:val="00A72763"/>
    <w:rsid w:val="00A72F60"/>
    <w:rsid w:val="00A7713B"/>
    <w:rsid w:val="00A8395D"/>
    <w:rsid w:val="00A83B48"/>
    <w:rsid w:val="00A86F05"/>
    <w:rsid w:val="00A91750"/>
    <w:rsid w:val="00A97160"/>
    <w:rsid w:val="00AA6D5F"/>
    <w:rsid w:val="00AB0DC9"/>
    <w:rsid w:val="00AB1673"/>
    <w:rsid w:val="00AB6F54"/>
    <w:rsid w:val="00AC52A1"/>
    <w:rsid w:val="00AD0C70"/>
    <w:rsid w:val="00AD0F41"/>
    <w:rsid w:val="00AD4870"/>
    <w:rsid w:val="00AD75DA"/>
    <w:rsid w:val="00AF5653"/>
    <w:rsid w:val="00AF5C29"/>
    <w:rsid w:val="00AF5D64"/>
    <w:rsid w:val="00AF7C0A"/>
    <w:rsid w:val="00B02443"/>
    <w:rsid w:val="00B04236"/>
    <w:rsid w:val="00B15949"/>
    <w:rsid w:val="00B203A1"/>
    <w:rsid w:val="00B210B3"/>
    <w:rsid w:val="00B25565"/>
    <w:rsid w:val="00B255B8"/>
    <w:rsid w:val="00B33100"/>
    <w:rsid w:val="00B34BB4"/>
    <w:rsid w:val="00B42A1B"/>
    <w:rsid w:val="00B46566"/>
    <w:rsid w:val="00B46F68"/>
    <w:rsid w:val="00B50162"/>
    <w:rsid w:val="00B543F2"/>
    <w:rsid w:val="00B57334"/>
    <w:rsid w:val="00B610EA"/>
    <w:rsid w:val="00B637DA"/>
    <w:rsid w:val="00B652FF"/>
    <w:rsid w:val="00B7273C"/>
    <w:rsid w:val="00B75307"/>
    <w:rsid w:val="00B801FF"/>
    <w:rsid w:val="00B84481"/>
    <w:rsid w:val="00B9076B"/>
    <w:rsid w:val="00B936B2"/>
    <w:rsid w:val="00BA00D0"/>
    <w:rsid w:val="00BA4098"/>
    <w:rsid w:val="00BA4F03"/>
    <w:rsid w:val="00BA6E28"/>
    <w:rsid w:val="00BA7D1D"/>
    <w:rsid w:val="00BB7ED3"/>
    <w:rsid w:val="00BC1C64"/>
    <w:rsid w:val="00BC1C67"/>
    <w:rsid w:val="00BD0EC6"/>
    <w:rsid w:val="00BD1965"/>
    <w:rsid w:val="00BD2C3D"/>
    <w:rsid w:val="00BD4425"/>
    <w:rsid w:val="00BD6F00"/>
    <w:rsid w:val="00BD7986"/>
    <w:rsid w:val="00BE2369"/>
    <w:rsid w:val="00BF281B"/>
    <w:rsid w:val="00BF3B03"/>
    <w:rsid w:val="00C01C1B"/>
    <w:rsid w:val="00C04A37"/>
    <w:rsid w:val="00C063A8"/>
    <w:rsid w:val="00C06D6F"/>
    <w:rsid w:val="00C10ABD"/>
    <w:rsid w:val="00C11B38"/>
    <w:rsid w:val="00C218EB"/>
    <w:rsid w:val="00C23002"/>
    <w:rsid w:val="00C414E2"/>
    <w:rsid w:val="00C44C7C"/>
    <w:rsid w:val="00C4580B"/>
    <w:rsid w:val="00C47492"/>
    <w:rsid w:val="00C51FBE"/>
    <w:rsid w:val="00C525C8"/>
    <w:rsid w:val="00C52750"/>
    <w:rsid w:val="00C630D4"/>
    <w:rsid w:val="00C64177"/>
    <w:rsid w:val="00C6695C"/>
    <w:rsid w:val="00C7281E"/>
    <w:rsid w:val="00C73F66"/>
    <w:rsid w:val="00C74F42"/>
    <w:rsid w:val="00C76657"/>
    <w:rsid w:val="00C76F6A"/>
    <w:rsid w:val="00C850E2"/>
    <w:rsid w:val="00CA2078"/>
    <w:rsid w:val="00CA7E96"/>
    <w:rsid w:val="00CC3A2A"/>
    <w:rsid w:val="00CC3E5B"/>
    <w:rsid w:val="00CD4904"/>
    <w:rsid w:val="00CD5086"/>
    <w:rsid w:val="00CD6BFD"/>
    <w:rsid w:val="00CD79BC"/>
    <w:rsid w:val="00CE4E9C"/>
    <w:rsid w:val="00CE58EA"/>
    <w:rsid w:val="00CF0DCC"/>
    <w:rsid w:val="00CF124E"/>
    <w:rsid w:val="00CF21D1"/>
    <w:rsid w:val="00CF4745"/>
    <w:rsid w:val="00CF7E57"/>
    <w:rsid w:val="00D04BF8"/>
    <w:rsid w:val="00D065D5"/>
    <w:rsid w:val="00D1705B"/>
    <w:rsid w:val="00D272CA"/>
    <w:rsid w:val="00D27AF1"/>
    <w:rsid w:val="00D33450"/>
    <w:rsid w:val="00D36B2A"/>
    <w:rsid w:val="00D40986"/>
    <w:rsid w:val="00D43ACA"/>
    <w:rsid w:val="00D50AA7"/>
    <w:rsid w:val="00D516C5"/>
    <w:rsid w:val="00D66213"/>
    <w:rsid w:val="00D71F10"/>
    <w:rsid w:val="00D72C52"/>
    <w:rsid w:val="00D777B6"/>
    <w:rsid w:val="00D913A5"/>
    <w:rsid w:val="00D94E99"/>
    <w:rsid w:val="00DA3BFF"/>
    <w:rsid w:val="00DB45BD"/>
    <w:rsid w:val="00DB7250"/>
    <w:rsid w:val="00DC22F1"/>
    <w:rsid w:val="00DD4152"/>
    <w:rsid w:val="00DE157C"/>
    <w:rsid w:val="00DE3F63"/>
    <w:rsid w:val="00DE63CF"/>
    <w:rsid w:val="00DF45DD"/>
    <w:rsid w:val="00E10F82"/>
    <w:rsid w:val="00E12792"/>
    <w:rsid w:val="00E12F62"/>
    <w:rsid w:val="00E16408"/>
    <w:rsid w:val="00E239F7"/>
    <w:rsid w:val="00E23E67"/>
    <w:rsid w:val="00E3635E"/>
    <w:rsid w:val="00E4386A"/>
    <w:rsid w:val="00E46D14"/>
    <w:rsid w:val="00E525E2"/>
    <w:rsid w:val="00E62C88"/>
    <w:rsid w:val="00E648A5"/>
    <w:rsid w:val="00E71D3D"/>
    <w:rsid w:val="00E7695A"/>
    <w:rsid w:val="00E86AF4"/>
    <w:rsid w:val="00EA056C"/>
    <w:rsid w:val="00EA05D7"/>
    <w:rsid w:val="00EA10AF"/>
    <w:rsid w:val="00EA2CEE"/>
    <w:rsid w:val="00EA4556"/>
    <w:rsid w:val="00EB5607"/>
    <w:rsid w:val="00EC11D9"/>
    <w:rsid w:val="00EC1CEC"/>
    <w:rsid w:val="00EC1FEA"/>
    <w:rsid w:val="00EC4240"/>
    <w:rsid w:val="00EC4BCE"/>
    <w:rsid w:val="00EC7E82"/>
    <w:rsid w:val="00EE455D"/>
    <w:rsid w:val="00EF48CA"/>
    <w:rsid w:val="00EF558B"/>
    <w:rsid w:val="00EF5D5A"/>
    <w:rsid w:val="00F0233C"/>
    <w:rsid w:val="00F1032E"/>
    <w:rsid w:val="00F12FE7"/>
    <w:rsid w:val="00F15575"/>
    <w:rsid w:val="00F341A1"/>
    <w:rsid w:val="00F36254"/>
    <w:rsid w:val="00F44492"/>
    <w:rsid w:val="00F462BF"/>
    <w:rsid w:val="00F62188"/>
    <w:rsid w:val="00F627C9"/>
    <w:rsid w:val="00F6450A"/>
    <w:rsid w:val="00F6691F"/>
    <w:rsid w:val="00F67C6B"/>
    <w:rsid w:val="00F822DA"/>
    <w:rsid w:val="00F84EC1"/>
    <w:rsid w:val="00F8509E"/>
    <w:rsid w:val="00F91BCB"/>
    <w:rsid w:val="00FA0BA3"/>
    <w:rsid w:val="00FA0F9B"/>
    <w:rsid w:val="00FA3F96"/>
    <w:rsid w:val="00FA6B2D"/>
    <w:rsid w:val="00FA742B"/>
    <w:rsid w:val="00FA7781"/>
    <w:rsid w:val="00FB6C8E"/>
    <w:rsid w:val="00FB6F7C"/>
    <w:rsid w:val="00FB78BE"/>
    <w:rsid w:val="00FC2E61"/>
    <w:rsid w:val="00FC47FD"/>
    <w:rsid w:val="00FC6FA9"/>
    <w:rsid w:val="00FC76FC"/>
    <w:rsid w:val="00FD27A0"/>
    <w:rsid w:val="00FD5550"/>
    <w:rsid w:val="00FE52B4"/>
    <w:rsid w:val="00FF484F"/>
    <w:rsid w:val="00FF6570"/>
    <w:rsid w:val="01D03355"/>
    <w:rsid w:val="02006EBE"/>
    <w:rsid w:val="024869D0"/>
    <w:rsid w:val="02964C23"/>
    <w:rsid w:val="02EB1762"/>
    <w:rsid w:val="03D656BE"/>
    <w:rsid w:val="03F757EF"/>
    <w:rsid w:val="055F619E"/>
    <w:rsid w:val="0586514B"/>
    <w:rsid w:val="05F75AC2"/>
    <w:rsid w:val="06373FDF"/>
    <w:rsid w:val="06593689"/>
    <w:rsid w:val="07357C1F"/>
    <w:rsid w:val="075A0DE3"/>
    <w:rsid w:val="07746F3C"/>
    <w:rsid w:val="078432DE"/>
    <w:rsid w:val="0795083F"/>
    <w:rsid w:val="08870709"/>
    <w:rsid w:val="089475C8"/>
    <w:rsid w:val="08DE6DA1"/>
    <w:rsid w:val="08F00151"/>
    <w:rsid w:val="092F1F8A"/>
    <w:rsid w:val="09974F69"/>
    <w:rsid w:val="09A42319"/>
    <w:rsid w:val="0A39473B"/>
    <w:rsid w:val="0AB47E2C"/>
    <w:rsid w:val="0B330296"/>
    <w:rsid w:val="0B607C12"/>
    <w:rsid w:val="0C5F03F0"/>
    <w:rsid w:val="0CCB388E"/>
    <w:rsid w:val="0CFD2568"/>
    <w:rsid w:val="0D2B2115"/>
    <w:rsid w:val="0D342DFE"/>
    <w:rsid w:val="0DB158D6"/>
    <w:rsid w:val="0DCC39A9"/>
    <w:rsid w:val="0DFA4E99"/>
    <w:rsid w:val="0E9F5F24"/>
    <w:rsid w:val="0EA7783B"/>
    <w:rsid w:val="0EB87583"/>
    <w:rsid w:val="0EEB59B6"/>
    <w:rsid w:val="0F0031EE"/>
    <w:rsid w:val="0F7255F4"/>
    <w:rsid w:val="0FEC2B42"/>
    <w:rsid w:val="10555328"/>
    <w:rsid w:val="10555FA2"/>
    <w:rsid w:val="105E4B6D"/>
    <w:rsid w:val="10AB322D"/>
    <w:rsid w:val="110C4B33"/>
    <w:rsid w:val="11154C0A"/>
    <w:rsid w:val="114F6C90"/>
    <w:rsid w:val="118C4FE0"/>
    <w:rsid w:val="11FD7C43"/>
    <w:rsid w:val="1348471D"/>
    <w:rsid w:val="138072F6"/>
    <w:rsid w:val="143C03E4"/>
    <w:rsid w:val="14AE4F0A"/>
    <w:rsid w:val="14D00599"/>
    <w:rsid w:val="14DA2E4F"/>
    <w:rsid w:val="154752A6"/>
    <w:rsid w:val="15A47B2A"/>
    <w:rsid w:val="15B71A61"/>
    <w:rsid w:val="161C7C09"/>
    <w:rsid w:val="161F5C2D"/>
    <w:rsid w:val="163150B7"/>
    <w:rsid w:val="16346B12"/>
    <w:rsid w:val="165E1674"/>
    <w:rsid w:val="17E57153"/>
    <w:rsid w:val="190E5ABD"/>
    <w:rsid w:val="19104D72"/>
    <w:rsid w:val="1915225B"/>
    <w:rsid w:val="192E108F"/>
    <w:rsid w:val="194A15A2"/>
    <w:rsid w:val="195C1C12"/>
    <w:rsid w:val="195D2E1C"/>
    <w:rsid w:val="19BE3588"/>
    <w:rsid w:val="19CF2EC0"/>
    <w:rsid w:val="19D01872"/>
    <w:rsid w:val="1A8C7199"/>
    <w:rsid w:val="1B1C5921"/>
    <w:rsid w:val="1B2A0778"/>
    <w:rsid w:val="1B2E141A"/>
    <w:rsid w:val="1B6A5C9C"/>
    <w:rsid w:val="1B8315FA"/>
    <w:rsid w:val="1B991235"/>
    <w:rsid w:val="1BCA0527"/>
    <w:rsid w:val="1BCA789C"/>
    <w:rsid w:val="1C997A97"/>
    <w:rsid w:val="1CB35B27"/>
    <w:rsid w:val="1D064516"/>
    <w:rsid w:val="1D205951"/>
    <w:rsid w:val="1DBC20E7"/>
    <w:rsid w:val="1DD35505"/>
    <w:rsid w:val="1EB77876"/>
    <w:rsid w:val="1F01567D"/>
    <w:rsid w:val="1FBC6266"/>
    <w:rsid w:val="1FFC5F2B"/>
    <w:rsid w:val="20014B53"/>
    <w:rsid w:val="2005729C"/>
    <w:rsid w:val="200D6D07"/>
    <w:rsid w:val="207027D6"/>
    <w:rsid w:val="20A75E72"/>
    <w:rsid w:val="21F863CB"/>
    <w:rsid w:val="22641C9A"/>
    <w:rsid w:val="22C46A19"/>
    <w:rsid w:val="22E56848"/>
    <w:rsid w:val="2376461D"/>
    <w:rsid w:val="23A2229E"/>
    <w:rsid w:val="23C42116"/>
    <w:rsid w:val="23CA71E6"/>
    <w:rsid w:val="23D43E23"/>
    <w:rsid w:val="242C5A65"/>
    <w:rsid w:val="24537DB5"/>
    <w:rsid w:val="24857FDC"/>
    <w:rsid w:val="24B23C5F"/>
    <w:rsid w:val="24C76263"/>
    <w:rsid w:val="24D548AB"/>
    <w:rsid w:val="252316F8"/>
    <w:rsid w:val="252D462D"/>
    <w:rsid w:val="25330301"/>
    <w:rsid w:val="2564654E"/>
    <w:rsid w:val="25B54044"/>
    <w:rsid w:val="25FB5923"/>
    <w:rsid w:val="2676268F"/>
    <w:rsid w:val="26C8339A"/>
    <w:rsid w:val="26D905D7"/>
    <w:rsid w:val="27571D7E"/>
    <w:rsid w:val="27BC36F7"/>
    <w:rsid w:val="28527FEB"/>
    <w:rsid w:val="28AD4DC4"/>
    <w:rsid w:val="29072AAF"/>
    <w:rsid w:val="29336701"/>
    <w:rsid w:val="298742AB"/>
    <w:rsid w:val="2A363B38"/>
    <w:rsid w:val="2B1F5623"/>
    <w:rsid w:val="2B860C10"/>
    <w:rsid w:val="2B98318A"/>
    <w:rsid w:val="2C3F3129"/>
    <w:rsid w:val="2C8E3A6E"/>
    <w:rsid w:val="2CD8004D"/>
    <w:rsid w:val="2CDF6FC9"/>
    <w:rsid w:val="2D000F7C"/>
    <w:rsid w:val="2D3E45AB"/>
    <w:rsid w:val="2D61034F"/>
    <w:rsid w:val="2DAE141A"/>
    <w:rsid w:val="2DB67FCA"/>
    <w:rsid w:val="2DE4544B"/>
    <w:rsid w:val="2E2A6CB1"/>
    <w:rsid w:val="2E3B5DBD"/>
    <w:rsid w:val="2E6764C9"/>
    <w:rsid w:val="2ECE5DC4"/>
    <w:rsid w:val="2F9E4341"/>
    <w:rsid w:val="2FD247F6"/>
    <w:rsid w:val="2FDE0CE0"/>
    <w:rsid w:val="30882C93"/>
    <w:rsid w:val="309B548D"/>
    <w:rsid w:val="30EB2C47"/>
    <w:rsid w:val="30FA7140"/>
    <w:rsid w:val="31231B99"/>
    <w:rsid w:val="3170354B"/>
    <w:rsid w:val="31844793"/>
    <w:rsid w:val="318E1710"/>
    <w:rsid w:val="31A42BFE"/>
    <w:rsid w:val="31DE3659"/>
    <w:rsid w:val="31EE6ACE"/>
    <w:rsid w:val="320D3805"/>
    <w:rsid w:val="329D729B"/>
    <w:rsid w:val="32B01B5B"/>
    <w:rsid w:val="32DC300A"/>
    <w:rsid w:val="330D4891"/>
    <w:rsid w:val="3334307C"/>
    <w:rsid w:val="33882F32"/>
    <w:rsid w:val="347C337D"/>
    <w:rsid w:val="35191BDC"/>
    <w:rsid w:val="351922AB"/>
    <w:rsid w:val="354E477A"/>
    <w:rsid w:val="35732515"/>
    <w:rsid w:val="35DB33A2"/>
    <w:rsid w:val="35DC7AE8"/>
    <w:rsid w:val="361B4381"/>
    <w:rsid w:val="36344CB6"/>
    <w:rsid w:val="36394291"/>
    <w:rsid w:val="369F4F87"/>
    <w:rsid w:val="375F3926"/>
    <w:rsid w:val="37AD7642"/>
    <w:rsid w:val="37C56746"/>
    <w:rsid w:val="39144D5F"/>
    <w:rsid w:val="392E5E0A"/>
    <w:rsid w:val="3958015E"/>
    <w:rsid w:val="397A504B"/>
    <w:rsid w:val="397F6DBC"/>
    <w:rsid w:val="39E1542F"/>
    <w:rsid w:val="3A5355F6"/>
    <w:rsid w:val="3A5B4289"/>
    <w:rsid w:val="3A814363"/>
    <w:rsid w:val="3AE22380"/>
    <w:rsid w:val="3B851C0E"/>
    <w:rsid w:val="3BA273C7"/>
    <w:rsid w:val="3BAA6E68"/>
    <w:rsid w:val="3BBD1BEA"/>
    <w:rsid w:val="3C3D7884"/>
    <w:rsid w:val="3C836146"/>
    <w:rsid w:val="3CA64EB7"/>
    <w:rsid w:val="3D465F05"/>
    <w:rsid w:val="3DF746FC"/>
    <w:rsid w:val="3E1801B3"/>
    <w:rsid w:val="3E6F3F33"/>
    <w:rsid w:val="3EA3019C"/>
    <w:rsid w:val="3EF85E61"/>
    <w:rsid w:val="3EFB0E4A"/>
    <w:rsid w:val="3F2432A1"/>
    <w:rsid w:val="3F2A5E0B"/>
    <w:rsid w:val="3FA34133"/>
    <w:rsid w:val="3FE94BAF"/>
    <w:rsid w:val="40850B3F"/>
    <w:rsid w:val="41474F5F"/>
    <w:rsid w:val="4228596E"/>
    <w:rsid w:val="42634A94"/>
    <w:rsid w:val="42740880"/>
    <w:rsid w:val="42870730"/>
    <w:rsid w:val="42C80827"/>
    <w:rsid w:val="43074165"/>
    <w:rsid w:val="438E58D5"/>
    <w:rsid w:val="43974465"/>
    <w:rsid w:val="43EF2D8F"/>
    <w:rsid w:val="44200466"/>
    <w:rsid w:val="4428474C"/>
    <w:rsid w:val="44471889"/>
    <w:rsid w:val="444D4DBE"/>
    <w:rsid w:val="44E0043A"/>
    <w:rsid w:val="452C27B0"/>
    <w:rsid w:val="454D1756"/>
    <w:rsid w:val="45A469A1"/>
    <w:rsid w:val="45B61C2E"/>
    <w:rsid w:val="45E0182E"/>
    <w:rsid w:val="46155180"/>
    <w:rsid w:val="46745B4B"/>
    <w:rsid w:val="467B785A"/>
    <w:rsid w:val="46800FB3"/>
    <w:rsid w:val="47157646"/>
    <w:rsid w:val="47367125"/>
    <w:rsid w:val="47375108"/>
    <w:rsid w:val="47935913"/>
    <w:rsid w:val="479866B1"/>
    <w:rsid w:val="48EF6D6E"/>
    <w:rsid w:val="491075D5"/>
    <w:rsid w:val="49296086"/>
    <w:rsid w:val="49DD3366"/>
    <w:rsid w:val="49F24861"/>
    <w:rsid w:val="49F332DE"/>
    <w:rsid w:val="4ACD611F"/>
    <w:rsid w:val="4AF823EE"/>
    <w:rsid w:val="4AFC27F5"/>
    <w:rsid w:val="4B3718AB"/>
    <w:rsid w:val="4B3B6895"/>
    <w:rsid w:val="4B50371D"/>
    <w:rsid w:val="4B622705"/>
    <w:rsid w:val="4BB41FAD"/>
    <w:rsid w:val="4BC953DC"/>
    <w:rsid w:val="4BCB5925"/>
    <w:rsid w:val="4C8536AB"/>
    <w:rsid w:val="4CEA0E9D"/>
    <w:rsid w:val="4CF725D0"/>
    <w:rsid w:val="4D9B39F5"/>
    <w:rsid w:val="4EBD5BC1"/>
    <w:rsid w:val="4EDC2411"/>
    <w:rsid w:val="4EDC27D0"/>
    <w:rsid w:val="4EFC0644"/>
    <w:rsid w:val="4F55619D"/>
    <w:rsid w:val="4FB644A9"/>
    <w:rsid w:val="4FEC12C5"/>
    <w:rsid w:val="50423492"/>
    <w:rsid w:val="50650A01"/>
    <w:rsid w:val="507B3860"/>
    <w:rsid w:val="50900119"/>
    <w:rsid w:val="50A856BB"/>
    <w:rsid w:val="50D147E5"/>
    <w:rsid w:val="52613B5D"/>
    <w:rsid w:val="52A63398"/>
    <w:rsid w:val="52C70C18"/>
    <w:rsid w:val="539A2DAB"/>
    <w:rsid w:val="53D440D6"/>
    <w:rsid w:val="540E5B6F"/>
    <w:rsid w:val="54605FEB"/>
    <w:rsid w:val="54BB58E1"/>
    <w:rsid w:val="551A0053"/>
    <w:rsid w:val="55330627"/>
    <w:rsid w:val="55AD5FAB"/>
    <w:rsid w:val="55D02A22"/>
    <w:rsid w:val="565158E2"/>
    <w:rsid w:val="56ED2D03"/>
    <w:rsid w:val="56FE708A"/>
    <w:rsid w:val="57521214"/>
    <w:rsid w:val="577C5A1F"/>
    <w:rsid w:val="57927EFB"/>
    <w:rsid w:val="579F71F9"/>
    <w:rsid w:val="57E32485"/>
    <w:rsid w:val="584D0CCB"/>
    <w:rsid w:val="585A2073"/>
    <w:rsid w:val="58722A3D"/>
    <w:rsid w:val="58814CF6"/>
    <w:rsid w:val="588F6148"/>
    <w:rsid w:val="58A052D8"/>
    <w:rsid w:val="58B578AB"/>
    <w:rsid w:val="58DD5D0A"/>
    <w:rsid w:val="591677EF"/>
    <w:rsid w:val="59964853"/>
    <w:rsid w:val="59E10ED3"/>
    <w:rsid w:val="5A1746C4"/>
    <w:rsid w:val="5A6721FA"/>
    <w:rsid w:val="5B6C62E9"/>
    <w:rsid w:val="5B8A32A7"/>
    <w:rsid w:val="5BB11B97"/>
    <w:rsid w:val="5BD0779D"/>
    <w:rsid w:val="5C4B3F91"/>
    <w:rsid w:val="5C9A6BEA"/>
    <w:rsid w:val="5D1833EA"/>
    <w:rsid w:val="5D1933D9"/>
    <w:rsid w:val="5D1A625C"/>
    <w:rsid w:val="5D2472BF"/>
    <w:rsid w:val="5D7F2C17"/>
    <w:rsid w:val="5DD07F39"/>
    <w:rsid w:val="5DFB5A39"/>
    <w:rsid w:val="5E5C57B2"/>
    <w:rsid w:val="5E8D072E"/>
    <w:rsid w:val="5F033354"/>
    <w:rsid w:val="5F244550"/>
    <w:rsid w:val="5FD64488"/>
    <w:rsid w:val="60006D05"/>
    <w:rsid w:val="605F0A0D"/>
    <w:rsid w:val="60910A56"/>
    <w:rsid w:val="60932096"/>
    <w:rsid w:val="613816ED"/>
    <w:rsid w:val="61503AA0"/>
    <w:rsid w:val="62D33EFA"/>
    <w:rsid w:val="62E45765"/>
    <w:rsid w:val="63411741"/>
    <w:rsid w:val="63E16606"/>
    <w:rsid w:val="64054669"/>
    <w:rsid w:val="640C2048"/>
    <w:rsid w:val="642C4363"/>
    <w:rsid w:val="64455EB7"/>
    <w:rsid w:val="648A7E1E"/>
    <w:rsid w:val="64C1405D"/>
    <w:rsid w:val="653C48FC"/>
    <w:rsid w:val="653F28E6"/>
    <w:rsid w:val="658A6959"/>
    <w:rsid w:val="65BD65E5"/>
    <w:rsid w:val="65BE012E"/>
    <w:rsid w:val="65E45C72"/>
    <w:rsid w:val="663B7ECB"/>
    <w:rsid w:val="66664A6F"/>
    <w:rsid w:val="668418A9"/>
    <w:rsid w:val="66A405F2"/>
    <w:rsid w:val="66AF6BE8"/>
    <w:rsid w:val="66D668DC"/>
    <w:rsid w:val="67425930"/>
    <w:rsid w:val="67513632"/>
    <w:rsid w:val="67DA07DC"/>
    <w:rsid w:val="67F73811"/>
    <w:rsid w:val="67FF0238"/>
    <w:rsid w:val="680F5447"/>
    <w:rsid w:val="687A2E8E"/>
    <w:rsid w:val="68906295"/>
    <w:rsid w:val="68C838D5"/>
    <w:rsid w:val="6940005B"/>
    <w:rsid w:val="69E87122"/>
    <w:rsid w:val="69FD236B"/>
    <w:rsid w:val="6A86450D"/>
    <w:rsid w:val="6AD0286A"/>
    <w:rsid w:val="6B595001"/>
    <w:rsid w:val="6B8D7288"/>
    <w:rsid w:val="6C9B5C6F"/>
    <w:rsid w:val="6DE777E9"/>
    <w:rsid w:val="6DE83EB9"/>
    <w:rsid w:val="6E266CF0"/>
    <w:rsid w:val="6E2C0EF9"/>
    <w:rsid w:val="6E3B38F6"/>
    <w:rsid w:val="6EEC67C1"/>
    <w:rsid w:val="6EFB21D7"/>
    <w:rsid w:val="6F1534CC"/>
    <w:rsid w:val="6F2B7176"/>
    <w:rsid w:val="6F484CD1"/>
    <w:rsid w:val="6F761963"/>
    <w:rsid w:val="6FBC5A58"/>
    <w:rsid w:val="6FF11DAA"/>
    <w:rsid w:val="70436B9A"/>
    <w:rsid w:val="70625B9D"/>
    <w:rsid w:val="70A95E38"/>
    <w:rsid w:val="71093342"/>
    <w:rsid w:val="717B19BD"/>
    <w:rsid w:val="71BB0012"/>
    <w:rsid w:val="72104295"/>
    <w:rsid w:val="72500C94"/>
    <w:rsid w:val="72687DAC"/>
    <w:rsid w:val="72741B79"/>
    <w:rsid w:val="73056DA5"/>
    <w:rsid w:val="73846922"/>
    <w:rsid w:val="738E6308"/>
    <w:rsid w:val="73C31643"/>
    <w:rsid w:val="73F8005E"/>
    <w:rsid w:val="73FD46F4"/>
    <w:rsid w:val="74211B44"/>
    <w:rsid w:val="74502B61"/>
    <w:rsid w:val="74662DB3"/>
    <w:rsid w:val="749033DD"/>
    <w:rsid w:val="74AB5CFA"/>
    <w:rsid w:val="74C0395B"/>
    <w:rsid w:val="74C65B65"/>
    <w:rsid w:val="74E523F8"/>
    <w:rsid w:val="74FC2C53"/>
    <w:rsid w:val="75267720"/>
    <w:rsid w:val="75532A96"/>
    <w:rsid w:val="75A86280"/>
    <w:rsid w:val="75E00722"/>
    <w:rsid w:val="76326284"/>
    <w:rsid w:val="76A621D7"/>
    <w:rsid w:val="772E6A92"/>
    <w:rsid w:val="7778159D"/>
    <w:rsid w:val="77F60E99"/>
    <w:rsid w:val="791061AE"/>
    <w:rsid w:val="795C326F"/>
    <w:rsid w:val="796929A7"/>
    <w:rsid w:val="7A883C7B"/>
    <w:rsid w:val="7B0363A7"/>
    <w:rsid w:val="7B261FAC"/>
    <w:rsid w:val="7B68342C"/>
    <w:rsid w:val="7C2F29AD"/>
    <w:rsid w:val="7D0820CD"/>
    <w:rsid w:val="7D8422E1"/>
    <w:rsid w:val="7DBA2B26"/>
    <w:rsid w:val="7DBE159E"/>
    <w:rsid w:val="7DEC183F"/>
    <w:rsid w:val="7E3D5E32"/>
    <w:rsid w:val="7F01792A"/>
    <w:rsid w:val="7FBA218F"/>
    <w:rsid w:val="7FF50E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4"/>
      <w:ind w:left="1471" w:right="1453"/>
      <w:jc w:val="center"/>
      <w:outlineLvl w:val="0"/>
    </w:pPr>
    <w:rPr>
      <w:rFonts w:ascii="黑体" w:hAnsi="黑体" w:eastAsia="黑体" w:cs="黑体"/>
      <w:sz w:val="44"/>
      <w:szCs w:val="44"/>
    </w:rPr>
  </w:style>
  <w:style w:type="paragraph" w:styleId="3">
    <w:name w:val="heading 2"/>
    <w:basedOn w:val="1"/>
    <w:next w:val="1"/>
    <w:qFormat/>
    <w:uiPriority w:val="1"/>
    <w:pPr>
      <w:ind w:left="2299" w:right="2791"/>
      <w:jc w:val="center"/>
      <w:outlineLvl w:val="1"/>
    </w:pPr>
    <w:rPr>
      <w:rFonts w:ascii="仿宋" w:hAnsi="仿宋" w:eastAsia="仿宋" w:cs="仿宋"/>
      <w:b/>
      <w:bCs/>
      <w:sz w:val="32"/>
      <w:szCs w:val="32"/>
    </w:rPr>
  </w:style>
  <w:style w:type="paragraph" w:styleId="4">
    <w:name w:val="heading 3"/>
    <w:basedOn w:val="1"/>
    <w:next w:val="1"/>
    <w:qFormat/>
    <w:uiPriority w:val="1"/>
    <w:pPr>
      <w:ind w:left="1029"/>
      <w:outlineLvl w:val="2"/>
    </w:pPr>
    <w:rPr>
      <w:rFonts w:ascii="黑体" w:hAnsi="黑体" w:eastAsia="黑体" w:cs="黑体"/>
      <w:b/>
      <w:bCs/>
      <w:sz w:val="28"/>
      <w:szCs w:val="28"/>
    </w:rPr>
  </w:style>
  <w:style w:type="paragraph" w:styleId="5">
    <w:name w:val="heading 4"/>
    <w:basedOn w:val="1"/>
    <w:next w:val="1"/>
    <w:qFormat/>
    <w:uiPriority w:val="1"/>
    <w:pPr>
      <w:ind w:left="1432"/>
      <w:outlineLvl w:val="3"/>
    </w:pPr>
    <w:rPr>
      <w:rFonts w:ascii="仿宋" w:hAnsi="仿宋" w:eastAsia="仿宋" w:cs="仿宋"/>
      <w:sz w:val="28"/>
      <w:szCs w:val="28"/>
    </w:rPr>
  </w:style>
  <w:style w:type="paragraph" w:styleId="6">
    <w:name w:val="heading 5"/>
    <w:basedOn w:val="1"/>
    <w:next w:val="1"/>
    <w:qFormat/>
    <w:uiPriority w:val="1"/>
    <w:pPr>
      <w:ind w:left="700"/>
      <w:outlineLvl w:val="4"/>
    </w:pPr>
    <w:rPr>
      <w:rFonts w:ascii="仿宋" w:hAnsi="仿宋" w:eastAsia="仿宋" w:cs="仿宋"/>
      <w:b/>
      <w:bCs/>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utoSpaceDE/>
      <w:autoSpaceDN/>
      <w:ind w:firstLine="420"/>
      <w:jc w:val="both"/>
    </w:pPr>
    <w:rPr>
      <w:rFonts w:ascii="Times New Roman" w:hAnsi="Times New Roman" w:cs="Times New Roman"/>
      <w:kern w:val="2"/>
      <w:sz w:val="21"/>
      <w:szCs w:val="20"/>
      <w:lang w:val="en-US" w:bidi="ar-SA"/>
    </w:rPr>
  </w:style>
  <w:style w:type="paragraph" w:styleId="8">
    <w:name w:val="annotation text"/>
    <w:basedOn w:val="1"/>
    <w:link w:val="28"/>
    <w:qFormat/>
    <w:uiPriority w:val="0"/>
  </w:style>
  <w:style w:type="paragraph" w:styleId="9">
    <w:name w:val="Body Text"/>
    <w:basedOn w:val="1"/>
    <w:qFormat/>
    <w:uiPriority w:val="1"/>
    <w:rPr>
      <w:sz w:val="24"/>
      <w:szCs w:val="24"/>
    </w:rPr>
  </w:style>
  <w:style w:type="paragraph" w:styleId="10">
    <w:name w:val="Block Text"/>
    <w:basedOn w:val="1"/>
    <w:qFormat/>
    <w:uiPriority w:val="0"/>
    <w:pPr>
      <w:tabs>
        <w:tab w:val="left" w:pos="360"/>
        <w:tab w:val="left" w:pos="720"/>
      </w:tabs>
      <w:ind w:left="540" w:right="25" w:rightChars="12"/>
    </w:pPr>
    <w:rPr>
      <w:sz w:val="24"/>
      <w:szCs w:val="24"/>
    </w:rPr>
  </w:style>
  <w:style w:type="paragraph" w:styleId="11">
    <w:name w:val="toc 3"/>
    <w:basedOn w:val="1"/>
    <w:next w:val="1"/>
    <w:qFormat/>
    <w:uiPriority w:val="39"/>
    <w:pPr>
      <w:ind w:left="840" w:leftChars="400"/>
    </w:pPr>
  </w:style>
  <w:style w:type="paragraph" w:styleId="12">
    <w:name w:val="Balloon Text"/>
    <w:basedOn w:val="1"/>
    <w:link w:val="29"/>
    <w:qFormat/>
    <w:uiPriority w:val="0"/>
    <w:rPr>
      <w:sz w:val="18"/>
      <w:szCs w:val="18"/>
    </w:rPr>
  </w:style>
  <w:style w:type="paragraph" w:styleId="13">
    <w:name w:val="footer"/>
    <w:basedOn w:val="1"/>
    <w:qFormat/>
    <w:uiPriority w:val="0"/>
    <w:pPr>
      <w:tabs>
        <w:tab w:val="center" w:pos="4153"/>
        <w:tab w:val="right" w:pos="8306"/>
      </w:tabs>
      <w:snapToGrid w:val="0"/>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10800"/>
      </w:tabs>
      <w:ind w:left="426" w:hanging="1"/>
    </w:pPr>
  </w:style>
  <w:style w:type="paragraph" w:styleId="16">
    <w:name w:val="Subtitle"/>
    <w:basedOn w:val="1"/>
    <w:next w:val="1"/>
    <w:link w:val="30"/>
    <w:qFormat/>
    <w:uiPriority w:val="0"/>
    <w:pPr>
      <w:spacing w:before="240" w:after="60" w:line="312" w:lineRule="auto"/>
      <w:jc w:val="center"/>
      <w:outlineLvl w:val="1"/>
    </w:pPr>
    <w:rPr>
      <w:rFonts w:ascii="等线 Light" w:hAnsi="等线 Light" w:cs="Times New Roman"/>
      <w:b/>
      <w:bCs/>
      <w:kern w:val="28"/>
      <w:sz w:val="32"/>
      <w:szCs w:val="32"/>
    </w:rPr>
  </w:style>
  <w:style w:type="paragraph" w:styleId="17">
    <w:name w:val="toc 2"/>
    <w:basedOn w:val="1"/>
    <w:next w:val="1"/>
    <w:qFormat/>
    <w:uiPriority w:val="39"/>
    <w:pPr>
      <w:ind w:left="420" w:leftChars="200"/>
    </w:pPr>
  </w:style>
  <w:style w:type="paragraph" w:styleId="18">
    <w:name w:val="HTML Preformatted"/>
    <w:basedOn w:val="1"/>
    <w:link w:val="31"/>
    <w:qFormat/>
    <w:uiPriority w:val="0"/>
    <w:rPr>
      <w:rFonts w:ascii="Courier New" w:hAnsi="Courier New" w:cs="Courier New"/>
      <w:sz w:val="20"/>
      <w:szCs w:val="20"/>
    </w:rPr>
  </w:style>
  <w:style w:type="paragraph" w:styleId="19">
    <w:name w:val="Normal (Web)"/>
    <w:basedOn w:val="1"/>
    <w:qFormat/>
    <w:uiPriority w:val="99"/>
    <w:pPr>
      <w:widowControl/>
      <w:spacing w:before="100" w:beforeAutospacing="1" w:after="100" w:afterAutospacing="1" w:line="420" w:lineRule="atLeast"/>
    </w:pPr>
    <w:rPr>
      <w:szCs w:val="21"/>
    </w:rPr>
  </w:style>
  <w:style w:type="paragraph" w:styleId="20">
    <w:name w:val="annotation subject"/>
    <w:basedOn w:val="8"/>
    <w:next w:val="8"/>
    <w:link w:val="32"/>
    <w:qFormat/>
    <w:uiPriority w:val="0"/>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character" w:styleId="25">
    <w:name w:val="page number"/>
    <w:qFormat/>
    <w:uiPriority w:val="0"/>
  </w:style>
  <w:style w:type="character" w:styleId="26">
    <w:name w:val="Hyperlink"/>
    <w:unhideWhenUsed/>
    <w:qFormat/>
    <w:uiPriority w:val="99"/>
    <w:rPr>
      <w:color w:val="0000FF"/>
      <w:u w:val="single"/>
    </w:rPr>
  </w:style>
  <w:style w:type="character" w:styleId="27">
    <w:name w:val="annotation reference"/>
    <w:basedOn w:val="23"/>
    <w:qFormat/>
    <w:uiPriority w:val="0"/>
    <w:rPr>
      <w:sz w:val="21"/>
      <w:szCs w:val="21"/>
    </w:rPr>
  </w:style>
  <w:style w:type="character" w:customStyle="1" w:styleId="28">
    <w:name w:val="批注文字 字符"/>
    <w:link w:val="8"/>
    <w:qFormat/>
    <w:uiPriority w:val="0"/>
    <w:rPr>
      <w:rFonts w:ascii="宋体" w:hAnsi="宋体" w:cs="宋体"/>
      <w:sz w:val="22"/>
      <w:szCs w:val="22"/>
      <w:lang w:val="zh-CN" w:bidi="zh-CN"/>
    </w:rPr>
  </w:style>
  <w:style w:type="character" w:customStyle="1" w:styleId="29">
    <w:name w:val="批注框文本 字符"/>
    <w:link w:val="12"/>
    <w:qFormat/>
    <w:uiPriority w:val="0"/>
    <w:rPr>
      <w:rFonts w:ascii="宋体" w:hAnsi="宋体" w:cs="宋体"/>
      <w:sz w:val="18"/>
      <w:szCs w:val="18"/>
      <w:lang w:val="zh-CN" w:bidi="zh-CN"/>
    </w:rPr>
  </w:style>
  <w:style w:type="character" w:customStyle="1" w:styleId="30">
    <w:name w:val="副标题 字符"/>
    <w:link w:val="16"/>
    <w:qFormat/>
    <w:uiPriority w:val="0"/>
    <w:rPr>
      <w:rFonts w:ascii="等线 Light" w:hAnsi="等线 Light" w:cs="Times New Roman"/>
      <w:b/>
      <w:bCs/>
      <w:kern w:val="28"/>
      <w:sz w:val="32"/>
      <w:szCs w:val="32"/>
      <w:lang w:val="zh-CN" w:bidi="zh-CN"/>
    </w:rPr>
  </w:style>
  <w:style w:type="character" w:customStyle="1" w:styleId="31">
    <w:name w:val="HTML 预设格式 字符"/>
    <w:link w:val="18"/>
    <w:qFormat/>
    <w:uiPriority w:val="0"/>
    <w:rPr>
      <w:rFonts w:ascii="Courier New" w:hAnsi="Courier New" w:cs="Courier New"/>
      <w:lang w:val="zh-CN" w:bidi="zh-CN"/>
    </w:rPr>
  </w:style>
  <w:style w:type="character" w:customStyle="1" w:styleId="32">
    <w:name w:val="批注主题 字符"/>
    <w:link w:val="20"/>
    <w:qFormat/>
    <w:uiPriority w:val="0"/>
    <w:rPr>
      <w:rFonts w:ascii="宋体" w:hAnsi="宋体" w:cs="宋体"/>
      <w:b/>
      <w:bCs/>
      <w:sz w:val="22"/>
      <w:szCs w:val="22"/>
      <w:lang w:val="zh-CN" w:bidi="zh-CN"/>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样式 标题 2 + Times New Roman 四号 非加粗 段前: 5 磅 段后: 0 磅 行距: 固定值 20..."/>
    <w:basedOn w:val="3"/>
    <w:qFormat/>
    <w:uiPriority w:val="0"/>
    <w:pPr>
      <w:keepNext/>
      <w:keepLines/>
      <w:autoSpaceDE/>
      <w:autoSpaceDN/>
      <w:spacing w:before="100" w:line="400" w:lineRule="exact"/>
      <w:ind w:left="0" w:right="0"/>
      <w:jc w:val="both"/>
    </w:pPr>
    <w:rPr>
      <w:rFonts w:ascii="Times New Roman" w:hAnsi="Times New Roman" w:eastAsia="黑体" w:cs="宋体"/>
      <w:b w:val="0"/>
      <w:bCs w:val="0"/>
      <w:kern w:val="2"/>
      <w:sz w:val="28"/>
      <w:szCs w:val="20"/>
      <w:lang w:val="en-US" w:bidi="ar-SA"/>
    </w:rPr>
  </w:style>
  <w:style w:type="paragraph" w:customStyle="1" w:styleId="36">
    <w:name w:val="普通(网站) New New"/>
    <w:basedOn w:val="37"/>
    <w:qFormat/>
    <w:uiPriority w:val="0"/>
    <w:pPr>
      <w:widowControl/>
      <w:spacing w:before="100" w:beforeAutospacing="1" w:after="100" w:afterAutospacing="1"/>
      <w:jc w:val="left"/>
    </w:pPr>
    <w:rPr>
      <w:rFonts w:ascii="宋体" w:hAnsi="宋体" w:cs="宋体"/>
      <w:kern w:val="0"/>
      <w:sz w:val="24"/>
    </w:rPr>
  </w:style>
  <w:style w:type="paragraph" w:customStyle="1" w:styleId="37">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Table Paragraph"/>
    <w:basedOn w:val="1"/>
    <w:qFormat/>
    <w:uiPriority w:val="1"/>
  </w:style>
  <w:style w:type="paragraph" w:customStyle="1" w:styleId="39">
    <w:name w:val="修订1"/>
    <w:unhideWhenUsed/>
    <w:qFormat/>
    <w:uiPriority w:val="99"/>
    <w:rPr>
      <w:rFonts w:ascii="宋体" w:hAnsi="宋体" w:eastAsia="宋体" w:cs="宋体"/>
      <w:sz w:val="22"/>
      <w:szCs w:val="22"/>
      <w:lang w:val="zh-CN" w:eastAsia="zh-CN" w:bidi="zh-CN"/>
    </w:rPr>
  </w:style>
  <w:style w:type="paragraph" w:customStyle="1" w:styleId="4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 New New"/>
    <w:qFormat/>
    <w:uiPriority w:val="0"/>
    <w:pPr>
      <w:widowControl w:val="0"/>
      <w:spacing w:line="600" w:lineRule="exact"/>
      <w:jc w:val="both"/>
    </w:pPr>
    <w:rPr>
      <w:rFonts w:ascii="Times New Roman" w:hAnsi="Times New Roman" w:eastAsia="仿宋_GB2312" w:cs="Times New Roman"/>
      <w:kern w:val="2"/>
      <w:sz w:val="30"/>
      <w:szCs w:val="22"/>
      <w:lang w:val="en-US" w:eastAsia="zh-CN" w:bidi="ar-SA"/>
    </w:rPr>
  </w:style>
  <w:style w:type="paragraph" w:customStyle="1" w:styleId="42">
    <w:name w:val="正文文本缩进 New New"/>
    <w:basedOn w:val="41"/>
    <w:qFormat/>
    <w:uiPriority w:val="0"/>
    <w:pPr>
      <w:ind w:firstLine="656" w:firstLineChars="200"/>
    </w:pPr>
    <w:rPr>
      <w:rFonts w:ascii="方正细等线简体" w:eastAsia="方正细等线简体"/>
    </w:rPr>
  </w:style>
  <w:style w:type="paragraph" w:styleId="43">
    <w:name w:val="List Paragraph"/>
    <w:basedOn w:val="1"/>
    <w:qFormat/>
    <w:uiPriority w:val="1"/>
  </w:style>
  <w:style w:type="paragraph" w:customStyle="1" w:styleId="44">
    <w:name w:val="_Style 28"/>
    <w:basedOn w:val="2"/>
    <w:next w:val="1"/>
    <w:qFormat/>
    <w:uiPriority w:val="39"/>
    <w:pPr>
      <w:keepNext/>
      <w:keepLines/>
      <w:widowControl/>
      <w:autoSpaceDE/>
      <w:autoSpaceDN/>
      <w:spacing w:before="480" w:line="276" w:lineRule="auto"/>
      <w:ind w:left="0" w:right="0"/>
      <w:jc w:val="left"/>
      <w:outlineLvl w:val="9"/>
    </w:pPr>
    <w:rPr>
      <w:rFonts w:ascii="Cambria" w:hAnsi="Cambria" w:eastAsia="宋体" w:cs="Times New Roman"/>
      <w:b/>
      <w:bCs/>
      <w:color w:val="365F91"/>
      <w:sz w:val="28"/>
      <w:szCs w:val="28"/>
      <w:lang w:val="en-US" w:bidi="ar-SA"/>
    </w:rPr>
  </w:style>
  <w:style w:type="table" w:customStyle="1" w:styleId="45">
    <w:name w:val="Table Normal"/>
    <w:unhideWhenUsed/>
    <w:qFormat/>
    <w:uiPriority w:val="2"/>
    <w:tblPr>
      <w:tblCellMar>
        <w:top w:w="0" w:type="dxa"/>
        <w:left w:w="0" w:type="dxa"/>
        <w:bottom w:w="0" w:type="dxa"/>
        <w:right w:w="0" w:type="dxa"/>
      </w:tblCellMar>
    </w:tblPr>
  </w:style>
  <w:style w:type="paragraph" w:customStyle="1" w:styleId="46">
    <w:name w:val="修订2"/>
    <w:hidden/>
    <w:semiHidden/>
    <w:qFormat/>
    <w:uiPriority w:val="99"/>
    <w:rPr>
      <w:rFonts w:ascii="宋体" w:hAnsi="宋体" w:eastAsia="宋体" w:cs="宋体"/>
      <w:sz w:val="22"/>
      <w:szCs w:val="22"/>
      <w:lang w:val="zh-CN" w:eastAsia="zh-CN" w:bidi="zh-CN"/>
    </w:rPr>
  </w:style>
  <w:style w:type="paragraph" w:customStyle="1" w:styleId="47">
    <w:name w:val="修订3"/>
    <w:hidden/>
    <w:unhideWhenUsed/>
    <w:qFormat/>
    <w:uiPriority w:val="99"/>
    <w:rPr>
      <w:rFonts w:ascii="宋体" w:hAnsi="宋体" w:eastAsia="宋体" w:cs="宋体"/>
      <w:sz w:val="22"/>
      <w:szCs w:val="22"/>
      <w:lang w:val="zh-CN" w:eastAsia="zh-CN" w:bidi="zh-CN"/>
    </w:rPr>
  </w:style>
  <w:style w:type="paragraph" w:customStyle="1" w:styleId="48">
    <w:name w:val="修订4"/>
    <w:hidden/>
    <w:unhideWhenUsed/>
    <w:qFormat/>
    <w:uiPriority w:val="99"/>
    <w:rPr>
      <w:rFonts w:ascii="宋体" w:hAnsi="宋体" w:eastAsia="宋体" w:cs="宋体"/>
      <w:sz w:val="22"/>
      <w:szCs w:val="22"/>
      <w:lang w:val="zh-CN" w:eastAsia="zh-CN" w:bidi="zh-CN"/>
    </w:rPr>
  </w:style>
  <w:style w:type="paragraph" w:customStyle="1" w:styleId="49">
    <w:name w:val="修订5"/>
    <w:hidden/>
    <w:semiHidden/>
    <w:qFormat/>
    <w:uiPriority w:val="99"/>
    <w:rPr>
      <w:rFonts w:ascii="宋体" w:hAnsi="宋体" w:eastAsia="宋体" w:cs="宋体"/>
      <w:sz w:val="22"/>
      <w:szCs w:val="22"/>
      <w:lang w:val="zh-CN" w:eastAsia="zh-CN" w:bidi="zh-CN"/>
    </w:rPr>
  </w:style>
  <w:style w:type="paragraph" w:customStyle="1" w:styleId="50">
    <w:name w:val="修订6"/>
    <w:hidden/>
    <w:semiHidden/>
    <w:qFormat/>
    <w:uiPriority w:val="99"/>
    <w:rPr>
      <w:rFonts w:ascii="宋体" w:hAnsi="宋体" w:eastAsia="宋体" w:cs="宋体"/>
      <w:sz w:val="22"/>
      <w:szCs w:val="22"/>
      <w:lang w:val="zh-CN" w:eastAsia="zh-CN" w:bidi="zh-CN"/>
    </w:rPr>
  </w:style>
  <w:style w:type="paragraph" w:customStyle="1" w:styleId="51">
    <w:name w:val="修订7"/>
    <w:hidden/>
    <w:unhideWhenUsed/>
    <w:qFormat/>
    <w:uiPriority w:val="99"/>
    <w:rPr>
      <w:rFonts w:ascii="宋体" w:hAnsi="宋体" w:eastAsia="宋体" w:cs="宋体"/>
      <w:sz w:val="22"/>
      <w:szCs w:val="22"/>
      <w:lang w:val="zh-CN" w:eastAsia="zh-CN" w:bidi="zh-CN"/>
    </w:rPr>
  </w:style>
  <w:style w:type="paragraph" w:customStyle="1" w:styleId="52">
    <w:name w:val="修订8"/>
    <w:hidden/>
    <w:unhideWhenUsed/>
    <w:qFormat/>
    <w:uiPriority w:val="99"/>
    <w:rPr>
      <w:rFonts w:ascii="宋体" w:hAnsi="宋体" w:eastAsia="宋体" w:cs="宋体"/>
      <w:sz w:val="22"/>
      <w:szCs w:val="22"/>
      <w:lang w:val="zh-CN" w:eastAsia="zh-CN" w:bidi="zh-CN"/>
    </w:rPr>
  </w:style>
  <w:style w:type="paragraph" w:customStyle="1" w:styleId="53">
    <w:name w:val="修订9"/>
    <w:hidden/>
    <w:unhideWhenUsed/>
    <w:qFormat/>
    <w:uiPriority w:val="99"/>
    <w:rPr>
      <w:rFonts w:ascii="宋体" w:hAnsi="宋体" w:eastAsia="宋体" w:cs="宋体"/>
      <w:sz w:val="22"/>
      <w:szCs w:val="22"/>
      <w:lang w:val="zh-CN" w:eastAsia="zh-CN" w:bidi="zh-CN"/>
    </w:rPr>
  </w:style>
  <w:style w:type="paragraph" w:customStyle="1" w:styleId="54">
    <w:name w:val="修订10"/>
    <w:hidden/>
    <w:unhideWhenUsed/>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Company>
  <Pages>1</Pages>
  <Words>4168</Words>
  <Characters>23760</Characters>
  <Lines>198</Lines>
  <Paragraphs>55</Paragraphs>
  <TotalTime>26</TotalTime>
  <ScaleCrop>false</ScaleCrop>
  <LinksUpToDate>false</LinksUpToDate>
  <CharactersWithSpaces>27873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2023-02-02T01:29:00Z</dcterms:created>
  <dc:creator>未知</dc:creator>
  <cp:lastModifiedBy>WPS_1591175264</cp:lastModifiedBy>
  <cp:lastPrinted>2023-05-29T03:15:00Z</cp:lastPrinted>
  <dcterms:modified xsi:type="dcterms:W3CDTF">2023-11-17T07:22:43Z</dcterms:modified>
  <dc:title>国有土地使用权出让招标公告</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WPS 文字</vt:lpwstr>
  </property>
  <property fmtid="{D5CDD505-2E9C-101B-9397-08002B2CF9AE}" pid="4" name="LastSaved">
    <vt:filetime>2019-08-15T00:00:00Z</vt:filetime>
  </property>
  <property fmtid="{D5CDD505-2E9C-101B-9397-08002B2CF9AE}" pid="5" name="KSOProductBuildVer">
    <vt:lpwstr>2052-12.1.0.15712</vt:lpwstr>
  </property>
  <property fmtid="{D5CDD505-2E9C-101B-9397-08002B2CF9AE}" pid="6" name="ICV">
    <vt:lpwstr>2B498D6EB4394D939A00E71B1250FDC9_13</vt:lpwstr>
  </property>
</Properties>
</file>